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29" w:rsidRDefault="0039255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第三季度普查不合格</w:t>
      </w:r>
    </w:p>
    <w:p w:rsidR="008B5829" w:rsidRDefault="0039255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政府网站和政务新媒体名单</w:t>
      </w:r>
    </w:p>
    <w:p w:rsidR="008B5829" w:rsidRDefault="008B5829"/>
    <w:tbl>
      <w:tblPr>
        <w:tblStyle w:val="a5"/>
        <w:tblW w:w="8616" w:type="dxa"/>
        <w:tblInd w:w="108" w:type="dxa"/>
        <w:tblLayout w:type="fixed"/>
        <w:tblLook w:val="04A0"/>
      </w:tblPr>
      <w:tblGrid>
        <w:gridCol w:w="891"/>
        <w:gridCol w:w="2571"/>
        <w:gridCol w:w="5154"/>
      </w:tblGrid>
      <w:tr w:rsidR="008B5829">
        <w:tc>
          <w:tcPr>
            <w:tcW w:w="891" w:type="dxa"/>
          </w:tcPr>
          <w:p w:rsidR="008B5829" w:rsidRDefault="00392559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序号</w:t>
            </w:r>
          </w:p>
        </w:tc>
        <w:tc>
          <w:tcPr>
            <w:tcW w:w="2571" w:type="dxa"/>
          </w:tcPr>
          <w:p w:rsidR="008B5829" w:rsidRDefault="00392559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政府网站</w:t>
            </w:r>
            <w:r w:rsidR="005E7EAA">
              <w:rPr>
                <w:rFonts w:ascii="Times New Roman" w:eastAsia="黑体" w:hAnsi="Times New Roman" w:cs="Times New Roman" w:hint="eastAsia"/>
                <w:bCs/>
                <w:szCs w:val="21"/>
              </w:rPr>
              <w:t>（专栏）</w:t>
            </w:r>
            <w:r>
              <w:rPr>
                <w:rFonts w:ascii="Times New Roman" w:eastAsia="黑体" w:hAnsi="Times New Roman" w:cs="Times New Roman"/>
                <w:bCs/>
                <w:szCs w:val="21"/>
              </w:rPr>
              <w:t>名称</w:t>
            </w:r>
          </w:p>
        </w:tc>
        <w:tc>
          <w:tcPr>
            <w:tcW w:w="5154" w:type="dxa"/>
          </w:tcPr>
          <w:p w:rsidR="008B5829" w:rsidRDefault="00392559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不合格原因</w:t>
            </w:r>
          </w:p>
        </w:tc>
      </w:tr>
      <w:tr w:rsidR="008B5829">
        <w:tc>
          <w:tcPr>
            <w:tcW w:w="891" w:type="dxa"/>
            <w:vAlign w:val="center"/>
          </w:tcPr>
          <w:p w:rsidR="008B5829" w:rsidRDefault="00392559">
            <w:pPr>
              <w:spacing w:line="360" w:lineRule="exact"/>
              <w:jc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szCs w:val="21"/>
              </w:rPr>
              <w:t>1</w:t>
            </w:r>
          </w:p>
        </w:tc>
        <w:tc>
          <w:tcPr>
            <w:tcW w:w="2571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广西柳州应急管理局网站</w:t>
            </w:r>
          </w:p>
        </w:tc>
        <w:tc>
          <w:tcPr>
            <w:tcW w:w="5154" w:type="dxa"/>
            <w:vAlign w:val="center"/>
          </w:tcPr>
          <w:p w:rsidR="008B5829" w:rsidRDefault="00392559">
            <w:pPr>
              <w:spacing w:line="360" w:lineRule="exact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动态、要闻类栏目，以及通知公告、政策文件类一级栏目，累计超过（含）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个未更新</w:t>
            </w:r>
          </w:p>
        </w:tc>
      </w:tr>
      <w:tr w:rsidR="008B5829">
        <w:tc>
          <w:tcPr>
            <w:tcW w:w="891" w:type="dxa"/>
            <w:vAlign w:val="center"/>
          </w:tcPr>
          <w:p w:rsidR="008B5829" w:rsidRDefault="00392559">
            <w:pPr>
              <w:spacing w:line="360" w:lineRule="exact"/>
              <w:jc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szCs w:val="21"/>
              </w:rPr>
              <w:t>2</w:t>
            </w:r>
          </w:p>
        </w:tc>
        <w:tc>
          <w:tcPr>
            <w:tcW w:w="2571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广西柳州水利局网站</w:t>
            </w:r>
          </w:p>
        </w:tc>
        <w:tc>
          <w:tcPr>
            <w:tcW w:w="5154" w:type="dxa"/>
            <w:vAlign w:val="center"/>
          </w:tcPr>
          <w:p w:rsidR="008B5829" w:rsidRDefault="00392559">
            <w:pPr>
              <w:spacing w:line="360" w:lineRule="exact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应更新但长期未更新的栏目数超过（含）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个</w:t>
            </w:r>
          </w:p>
        </w:tc>
      </w:tr>
      <w:tr w:rsidR="008B5829">
        <w:tc>
          <w:tcPr>
            <w:tcW w:w="891" w:type="dxa"/>
            <w:vAlign w:val="center"/>
          </w:tcPr>
          <w:p w:rsidR="008B5829" w:rsidRDefault="00392559">
            <w:pPr>
              <w:spacing w:line="360" w:lineRule="exact"/>
              <w:jc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2571" w:type="dxa"/>
            <w:vAlign w:val="center"/>
          </w:tcPr>
          <w:p w:rsidR="008B5829" w:rsidRDefault="005E7EAA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信用</w:t>
            </w:r>
            <w:r w:rsidR="00392559"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柳州</w:t>
            </w:r>
          </w:p>
        </w:tc>
        <w:tc>
          <w:tcPr>
            <w:tcW w:w="5154" w:type="dxa"/>
            <w:vAlign w:val="center"/>
          </w:tcPr>
          <w:p w:rsidR="008B5829" w:rsidRDefault="00392559">
            <w:pPr>
              <w:spacing w:line="360" w:lineRule="exact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kern w:val="0"/>
                <w:szCs w:val="21"/>
              </w:rPr>
              <w:t>发稿日期存在弄虚作假行为</w:t>
            </w:r>
          </w:p>
        </w:tc>
      </w:tr>
      <w:tr w:rsidR="008B5829">
        <w:tc>
          <w:tcPr>
            <w:tcW w:w="891" w:type="dxa"/>
            <w:vAlign w:val="center"/>
          </w:tcPr>
          <w:p w:rsidR="008B5829" w:rsidRDefault="00392559">
            <w:pPr>
              <w:spacing w:line="360" w:lineRule="exact"/>
              <w:jc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2571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柳州市退役军人事务局</w:t>
            </w:r>
          </w:p>
        </w:tc>
        <w:tc>
          <w:tcPr>
            <w:tcW w:w="5154" w:type="dxa"/>
            <w:vAlign w:val="center"/>
          </w:tcPr>
          <w:p w:rsidR="008B5829" w:rsidRDefault="00392559">
            <w:pPr>
              <w:spacing w:line="360" w:lineRule="exact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空白栏目数量超过（含）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个</w:t>
            </w:r>
          </w:p>
        </w:tc>
      </w:tr>
    </w:tbl>
    <w:p w:rsidR="008B5829" w:rsidRDefault="00392559">
      <w:pPr>
        <w:ind w:firstLineChars="200" w:firstLine="640"/>
        <w:rPr>
          <w:rFonts w:ascii="方正仿宋_GB2312" w:eastAsia="方正仿宋_GB2312" w:hAnsi="方正仿宋_GB2312" w:cs="方正仿宋_GB2312"/>
        </w:rPr>
      </w:pPr>
      <w:r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备注说明：</w:t>
      </w:r>
      <w:r w:rsidR="00C8248B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信用柳州</w:t>
      </w:r>
      <w:r w:rsidR="00F02719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为</w:t>
      </w:r>
      <w:r w:rsidR="00C8248B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市</w:t>
      </w:r>
      <w:r w:rsidR="00F02719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发改委网站的专栏</w:t>
      </w:r>
      <w:r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，柳州市退役军人事务局、柳州市医</w:t>
      </w:r>
      <w:r w:rsidR="00F02719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疗保障局和柳州市大数据发展局为柳州市人民政府门户网站的专栏，</w:t>
      </w:r>
      <w:r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若出现不合格会直接影响到</w:t>
      </w:r>
      <w:r w:rsidR="003622FB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市</w:t>
      </w:r>
      <w:r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发改委网站</w:t>
      </w:r>
      <w:bookmarkStart w:id="0" w:name="_GoBack"/>
      <w:bookmarkEnd w:id="0"/>
      <w:r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和柳州市门户网站。因此将这4</w:t>
      </w:r>
      <w:r w:rsidR="00F02719"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个专栏纳入</w:t>
      </w:r>
      <w:r>
        <w:rPr>
          <w:rFonts w:ascii="方正仿宋_GB2312" w:eastAsia="方正仿宋_GB2312" w:hAnsi="方正仿宋_GB2312" w:cs="方正仿宋_GB2312" w:hint="eastAsia"/>
          <w:color w:val="000000" w:themeColor="text1"/>
          <w:sz w:val="32"/>
          <w:szCs w:val="32"/>
        </w:rPr>
        <w:t>普查检查范围里。</w:t>
      </w:r>
    </w:p>
    <w:tbl>
      <w:tblPr>
        <w:tblStyle w:val="a5"/>
        <w:tblpPr w:leftFromText="180" w:rightFromText="180" w:vertAnchor="text" w:horzAnchor="page" w:tblpX="1900" w:tblpY="285"/>
        <w:tblOverlap w:val="never"/>
        <w:tblW w:w="8611" w:type="dxa"/>
        <w:tblLayout w:type="fixed"/>
        <w:tblLook w:val="04A0"/>
      </w:tblPr>
      <w:tblGrid>
        <w:gridCol w:w="891"/>
        <w:gridCol w:w="2580"/>
        <w:gridCol w:w="1125"/>
        <w:gridCol w:w="4015"/>
      </w:tblGrid>
      <w:tr w:rsidR="008B5829">
        <w:tc>
          <w:tcPr>
            <w:tcW w:w="891" w:type="dxa"/>
          </w:tcPr>
          <w:p w:rsidR="008B5829" w:rsidRDefault="00392559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序号</w:t>
            </w:r>
          </w:p>
        </w:tc>
        <w:tc>
          <w:tcPr>
            <w:tcW w:w="2580" w:type="dxa"/>
          </w:tcPr>
          <w:p w:rsidR="008B5829" w:rsidRDefault="00392559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政务新媒体名称</w:t>
            </w:r>
          </w:p>
        </w:tc>
        <w:tc>
          <w:tcPr>
            <w:tcW w:w="1125" w:type="dxa"/>
          </w:tcPr>
          <w:p w:rsidR="008B5829" w:rsidRDefault="00392559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类型</w:t>
            </w:r>
          </w:p>
        </w:tc>
        <w:tc>
          <w:tcPr>
            <w:tcW w:w="4015" w:type="dxa"/>
          </w:tcPr>
          <w:p w:rsidR="008B5829" w:rsidRDefault="00392559">
            <w:pPr>
              <w:jc w:val="center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szCs w:val="21"/>
              </w:rPr>
              <w:t>不合格原因</w:t>
            </w:r>
          </w:p>
        </w:tc>
      </w:tr>
      <w:tr w:rsidR="008B5829">
        <w:tc>
          <w:tcPr>
            <w:tcW w:w="891" w:type="dxa"/>
            <w:vAlign w:val="center"/>
          </w:tcPr>
          <w:p w:rsidR="008B5829" w:rsidRDefault="00392559">
            <w:pPr>
              <w:spacing w:line="360" w:lineRule="exact"/>
              <w:jc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szCs w:val="21"/>
              </w:rPr>
              <w:t>1</w:t>
            </w:r>
          </w:p>
        </w:tc>
        <w:tc>
          <w:tcPr>
            <w:tcW w:w="2580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柳州脱贫攻坚</w:t>
            </w:r>
          </w:p>
        </w:tc>
        <w:tc>
          <w:tcPr>
            <w:tcW w:w="1125" w:type="dxa"/>
            <w:vAlign w:val="center"/>
          </w:tcPr>
          <w:p w:rsidR="008B5829" w:rsidRDefault="00392559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4015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单项否决（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缺有效</w:t>
            </w:r>
            <w:proofErr w:type="gramEnd"/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互动渠道菜单功能）</w:t>
            </w:r>
          </w:p>
        </w:tc>
      </w:tr>
      <w:tr w:rsidR="008B5829">
        <w:tc>
          <w:tcPr>
            <w:tcW w:w="891" w:type="dxa"/>
            <w:vAlign w:val="center"/>
          </w:tcPr>
          <w:p w:rsidR="008B5829" w:rsidRDefault="00392559">
            <w:pPr>
              <w:spacing w:line="360" w:lineRule="exact"/>
              <w:jc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szCs w:val="21"/>
              </w:rPr>
              <w:t>2</w:t>
            </w:r>
          </w:p>
        </w:tc>
        <w:tc>
          <w:tcPr>
            <w:tcW w:w="2580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柳州市自然资源和规划局</w:t>
            </w:r>
          </w:p>
        </w:tc>
        <w:tc>
          <w:tcPr>
            <w:tcW w:w="1125" w:type="dxa"/>
            <w:vAlign w:val="center"/>
          </w:tcPr>
          <w:p w:rsidR="008B5829" w:rsidRDefault="00392559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新</w:t>
            </w: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浪微博</w:t>
            </w:r>
            <w:proofErr w:type="gramEnd"/>
          </w:p>
        </w:tc>
        <w:tc>
          <w:tcPr>
            <w:tcW w:w="4015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单项否决（评论功能无法使用，视为未提供有效互动）</w:t>
            </w:r>
          </w:p>
        </w:tc>
      </w:tr>
      <w:tr w:rsidR="008B5829">
        <w:tc>
          <w:tcPr>
            <w:tcW w:w="891" w:type="dxa"/>
            <w:vAlign w:val="center"/>
          </w:tcPr>
          <w:p w:rsidR="008B5829" w:rsidRDefault="00392559">
            <w:pPr>
              <w:spacing w:line="360" w:lineRule="exact"/>
              <w:jc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szCs w:val="21"/>
              </w:rPr>
              <w:t>3</w:t>
            </w:r>
          </w:p>
        </w:tc>
        <w:tc>
          <w:tcPr>
            <w:tcW w:w="2580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柳南商务</w:t>
            </w:r>
          </w:p>
        </w:tc>
        <w:tc>
          <w:tcPr>
            <w:tcW w:w="1125" w:type="dxa"/>
            <w:vAlign w:val="center"/>
          </w:tcPr>
          <w:p w:rsidR="008B5829" w:rsidRDefault="00392559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4015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单项否决（未及时更新）</w:t>
            </w:r>
          </w:p>
        </w:tc>
      </w:tr>
      <w:tr w:rsidR="008B5829">
        <w:tc>
          <w:tcPr>
            <w:tcW w:w="891" w:type="dxa"/>
            <w:vAlign w:val="center"/>
          </w:tcPr>
          <w:p w:rsidR="008B5829" w:rsidRDefault="00392559">
            <w:pPr>
              <w:spacing w:line="360" w:lineRule="exact"/>
              <w:jc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szCs w:val="21"/>
              </w:rPr>
              <w:t>4</w:t>
            </w:r>
          </w:p>
        </w:tc>
        <w:tc>
          <w:tcPr>
            <w:tcW w:w="2580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柳州市政务服务中心</w:t>
            </w:r>
          </w:p>
        </w:tc>
        <w:tc>
          <w:tcPr>
            <w:tcW w:w="1125" w:type="dxa"/>
            <w:vAlign w:val="center"/>
          </w:tcPr>
          <w:p w:rsidR="008B5829" w:rsidRDefault="00392559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4015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单项否决（未及时更新）</w:t>
            </w:r>
          </w:p>
        </w:tc>
      </w:tr>
      <w:tr w:rsidR="008B5829">
        <w:tc>
          <w:tcPr>
            <w:tcW w:w="891" w:type="dxa"/>
            <w:vAlign w:val="center"/>
          </w:tcPr>
          <w:p w:rsidR="008B5829" w:rsidRDefault="00392559">
            <w:pPr>
              <w:spacing w:line="360" w:lineRule="exact"/>
              <w:jc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szCs w:val="21"/>
              </w:rPr>
              <w:t>5</w:t>
            </w:r>
          </w:p>
        </w:tc>
        <w:tc>
          <w:tcPr>
            <w:tcW w:w="2580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柳州自然资源规划</w:t>
            </w:r>
          </w:p>
        </w:tc>
        <w:tc>
          <w:tcPr>
            <w:tcW w:w="1125" w:type="dxa"/>
            <w:vAlign w:val="center"/>
          </w:tcPr>
          <w:p w:rsidR="008B5829" w:rsidRDefault="00392559">
            <w:pPr>
              <w:widowControl/>
              <w:jc w:val="center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4015" w:type="dxa"/>
            <w:vAlign w:val="center"/>
          </w:tcPr>
          <w:p w:rsidR="008B5829" w:rsidRDefault="00392559">
            <w:pPr>
              <w:widowControl/>
              <w:jc w:val="left"/>
              <w:textAlignment w:val="center"/>
              <w:rPr>
                <w:rFonts w:ascii="Times New Roman" w:eastAsia="方正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Cs w:val="21"/>
              </w:rPr>
              <w:t>单项否决（未及时更新）</w:t>
            </w:r>
          </w:p>
        </w:tc>
      </w:tr>
    </w:tbl>
    <w:p w:rsidR="008B5829" w:rsidRDefault="008B5829"/>
    <w:sectPr w:rsidR="008B5829" w:rsidSect="008B5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B5" w:rsidRDefault="007C77B5" w:rsidP="005E7EAA">
      <w:r>
        <w:separator/>
      </w:r>
    </w:p>
  </w:endnote>
  <w:endnote w:type="continuationSeparator" w:id="0">
    <w:p w:rsidR="007C77B5" w:rsidRDefault="007C77B5" w:rsidP="005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4EB7204-0F19-4869-B081-1FBA8179F41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1D17528-80B2-4321-803F-5194E370AF97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107D1B59-7869-4920-A694-0F955BC9C6B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B5" w:rsidRDefault="007C77B5" w:rsidP="005E7EAA">
      <w:r>
        <w:separator/>
      </w:r>
    </w:p>
  </w:footnote>
  <w:footnote w:type="continuationSeparator" w:id="0">
    <w:p w:rsidR="007C77B5" w:rsidRDefault="007C77B5" w:rsidP="005E7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5393"/>
    <w:rsid w:val="0000604A"/>
    <w:rsid w:val="00125393"/>
    <w:rsid w:val="001B01B3"/>
    <w:rsid w:val="002854C7"/>
    <w:rsid w:val="002E5BAF"/>
    <w:rsid w:val="003622FB"/>
    <w:rsid w:val="00392559"/>
    <w:rsid w:val="00497D6B"/>
    <w:rsid w:val="004B310D"/>
    <w:rsid w:val="005E7EAA"/>
    <w:rsid w:val="00611A38"/>
    <w:rsid w:val="00661BA5"/>
    <w:rsid w:val="00667D13"/>
    <w:rsid w:val="006D1ED1"/>
    <w:rsid w:val="006D2727"/>
    <w:rsid w:val="00721429"/>
    <w:rsid w:val="007C77B5"/>
    <w:rsid w:val="00831073"/>
    <w:rsid w:val="00877D94"/>
    <w:rsid w:val="008B5829"/>
    <w:rsid w:val="009A0AB4"/>
    <w:rsid w:val="009E2554"/>
    <w:rsid w:val="00A94944"/>
    <w:rsid w:val="00AD2320"/>
    <w:rsid w:val="00BE24E4"/>
    <w:rsid w:val="00C44518"/>
    <w:rsid w:val="00C556EF"/>
    <w:rsid w:val="00C8248B"/>
    <w:rsid w:val="00D84977"/>
    <w:rsid w:val="00EB48C0"/>
    <w:rsid w:val="00F02719"/>
    <w:rsid w:val="00F8104A"/>
    <w:rsid w:val="0A0F18D2"/>
    <w:rsid w:val="0E5111F8"/>
    <w:rsid w:val="135D0D33"/>
    <w:rsid w:val="14565F35"/>
    <w:rsid w:val="16256E8C"/>
    <w:rsid w:val="26DB43AE"/>
    <w:rsid w:val="2C5E5ED9"/>
    <w:rsid w:val="49630839"/>
    <w:rsid w:val="4D174A75"/>
    <w:rsid w:val="4DD82F26"/>
    <w:rsid w:val="51447CAB"/>
    <w:rsid w:val="58D42E31"/>
    <w:rsid w:val="5B4413F6"/>
    <w:rsid w:val="686A39F2"/>
    <w:rsid w:val="770C741F"/>
    <w:rsid w:val="797A0938"/>
    <w:rsid w:val="7A71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B5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B5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B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B58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B5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8ED18-0D5F-4F23-90D7-F6132AF9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>Microsoft.com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weizhi</cp:lastModifiedBy>
  <cp:revision>15</cp:revision>
  <dcterms:created xsi:type="dcterms:W3CDTF">2018-05-19T11:55:00Z</dcterms:created>
  <dcterms:modified xsi:type="dcterms:W3CDTF">2020-08-03T09:21:00Z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