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广西柳州市欣鼎商贸有限公司：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2D33B45"/>
    <w:rsid w:val="33065509"/>
    <w:rsid w:val="34A02734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D0D3237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10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82BB281B71094965879A835F5FBE7997_13</vt:lpwstr>
  </property>
</Properties>
</file>