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532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74FFBBB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547D9E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2787" w:firstLineChars="87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0A023E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rPr>
          <w:rFonts w:hint="eastAsia"/>
          <w:color w:val="auto"/>
        </w:rPr>
      </w:pPr>
    </w:p>
    <w:p w14:paraId="1E8D74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柳州市柳北区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多多每天便利店</w:t>
      </w:r>
    </w:p>
    <w:p w14:paraId="3D82DE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711078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92450205MACTMBFY95</w:t>
      </w:r>
    </w:p>
    <w:p w14:paraId="7859D7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经营场所：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柳州市柳北区胜利路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9号中房胜利小区六区6栋1-20号商铺</w:t>
      </w:r>
    </w:p>
    <w:p w14:paraId="763A03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1600" w:hanging="1600" w:hangingChars="5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陈思</w:t>
      </w:r>
    </w:p>
    <w:p w14:paraId="0F3B2B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default" w:ascii="仿宋_GB2312" w:hAnsi="仿宋_GB2312" w:eastAsia="仿宋_GB2312" w:cs="仿宋_GB2312"/>
          <w:strike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  <w:bookmarkStart w:id="0" w:name="_GoBack"/>
      <w:bookmarkEnd w:id="0"/>
    </w:p>
    <w:p w14:paraId="43FA8C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  <w:sz w:val="32"/>
          <w:szCs w:val="32"/>
          <w:lang w:eastAsia="zh-CN"/>
        </w:rPr>
      </w:pPr>
    </w:p>
    <w:p w14:paraId="054313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日，我局执法人员联合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烟草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局执法人员对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进行检查时发现，当事人正在从事烟草制品零售活动并无法出示《烟草专卖零售许可证》，涉嫌违反《中华人民共和国烟草专卖法实施条例》的相关规定，为进一步查清事实，我局于202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日对当事人进行立案调查。</w:t>
      </w:r>
    </w:p>
    <w:p w14:paraId="32B6A5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于2024年6月开始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未依法取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得《烟草专卖零售许可证》的情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柳州市柳北区胜利路9号中房胜利小区六区6栋1-20号商铺从事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活动，20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日被我局依法查获时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经营的烟草制品货值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5190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在经营过程中未制作进销货台账，故利润无法计算。</w:t>
      </w:r>
    </w:p>
    <w:p w14:paraId="775933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上述事实，由以下证据证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6F5C59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当事人的营业执照复印件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的主体资格和经营者的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6E1D40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证据二：现场笔录1份、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证据提取单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询问笔录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份，证明当事人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未依法取得《烟草专卖零售许可证》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柳州市柳北区胜利路9号中房胜利小区六区6栋1-20号商铺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零售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活动的事实。</w:t>
      </w:r>
    </w:p>
    <w:p w14:paraId="4B7FB0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：柳州市城区烟草专卖局涉案烟草专卖品核价表1份，证明当事人在未依法取得《烟草专卖零售许可证》的情况下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零售烟草制品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的涉案货值金额。</w:t>
      </w:r>
    </w:p>
    <w:p w14:paraId="11FADE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以上证据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一、二均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签名确认。</w:t>
      </w:r>
    </w:p>
    <w:p w14:paraId="5EFEFC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11F143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5190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45DF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当事人的违法经营额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5190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参照《广西壮族自治区市场监督管理行政处罚裁量基准（2023版）》中《烟草专卖法实施条例》行政处罚裁量基准从轻处罚适用情形的规定，依据《中华人民共和国行政处罚法》第五条、第六条的规定，我局决定给予当事人从轻行政处罚。</w:t>
      </w:r>
    </w:p>
    <w:p w14:paraId="518A4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《中华人民共和国烟草专卖法实施条例》第五十七条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罚款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13937E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凭《广西壮族自治区非税收入电子缴款通知书》到中国建设银行缴纳罚款。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逾期不缴纳罚款的，根据《中华人民共和国行政处罚法》第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将每日按罚款数额的3%加处罚款，并依法申请人民法院强制执行。                                                      </w:t>
      </w:r>
    </w:p>
    <w:p w14:paraId="7A2721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05" w:leftChars="-50" w:right="-105" w:rightChars="-5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当事人如不服本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处罚决定，可在接到本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处罚决定书之日起60日内向柳州市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柳北区人民政府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申请行政复议，也可以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柳州市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柳南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区人民法院提起行政诉讼。申请行政复议或者提起行政诉讼期间，行政处罚不停止执行。</w:t>
      </w:r>
    </w:p>
    <w:p w14:paraId="126C50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          </w:t>
      </w:r>
    </w:p>
    <w:p w14:paraId="66563C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42B837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17ABBB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柳州市柳北区市场监督管理局                                                                                                                   </w:t>
      </w:r>
    </w:p>
    <w:p w14:paraId="5D3D2C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日 </w:t>
      </w:r>
    </w:p>
    <w:p w14:paraId="4366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6CB6AB21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36DB5CDC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563837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rPr>
          <w:rFonts w:hint="eastAsia"/>
          <w:color w:val="auto"/>
        </w:rPr>
      </w:pPr>
    </w:p>
    <w:p w14:paraId="660D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(市场监督管理部门将依法向社会公示本行政处罚决定信息）</w:t>
      </w:r>
    </w:p>
    <w:p w14:paraId="1A8B0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327" w:right="867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777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CE9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CE9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  <w:docVar w:name="KSO_WPS_MARK_KEY" w:val="d49b73f3-2827-419d-a39b-2e685caa22f7"/>
  </w:docVars>
  <w:rsids>
    <w:rsidRoot w:val="65081813"/>
    <w:rsid w:val="07853D68"/>
    <w:rsid w:val="0859574E"/>
    <w:rsid w:val="0E98417E"/>
    <w:rsid w:val="1BC10A69"/>
    <w:rsid w:val="1F7F1344"/>
    <w:rsid w:val="25057400"/>
    <w:rsid w:val="2E4669B5"/>
    <w:rsid w:val="4E8C412B"/>
    <w:rsid w:val="65081813"/>
    <w:rsid w:val="67664025"/>
    <w:rsid w:val="7D0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1367</Characters>
  <Lines>0</Lines>
  <Paragraphs>0</Paragraphs>
  <TotalTime>56</TotalTime>
  <ScaleCrop>false</ScaleCrop>
  <LinksUpToDate>false</LinksUpToDate>
  <CharactersWithSpaces>1630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2024-05-23T02:16:00Z</dcterms:created>
  <dc:creator>Administrator</dc:creator>
  <cp:lastModifiedBy>河谷镇</cp:lastModifiedBy>
  <dcterms:modified xsi:type="dcterms:W3CDTF">2024-12-04T03:53:14Z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E4D6F6DD086F4D6C9ACA0EA8F1785149_13</vt:lpwstr>
  </property>
</Properties>
</file>