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7B564">
      <w:pPr>
        <w:keepNext w:val="0"/>
        <w:keepLines w:val="0"/>
        <w:pageBreakBefore w:val="0"/>
        <w:widowControl w:val="0"/>
        <w:kinsoku/>
        <w:wordWrap/>
        <w:overflowPunct/>
        <w:topLinePunct w:val="0"/>
        <w:autoSpaceDE/>
        <w:autoSpaceDN/>
        <w:bidi w:val="0"/>
        <w:snapToGrid/>
        <w:spacing w:line="520" w:lineRule="exact"/>
        <w:ind w:left="0" w:left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柳州市柳北区市场监督管理局</w:t>
      </w:r>
    </w:p>
    <w:p w14:paraId="7D96FE0F">
      <w:pPr>
        <w:keepNext w:val="0"/>
        <w:keepLines w:val="0"/>
        <w:pageBreakBefore w:val="0"/>
        <w:widowControl w:val="0"/>
        <w:kinsoku/>
        <w:wordWrap/>
        <w:overflowPunct/>
        <w:topLinePunct w:val="0"/>
        <w:autoSpaceDE/>
        <w:autoSpaceDN/>
        <w:bidi w:val="0"/>
        <w:snapToGrid/>
        <w:spacing w:line="520" w:lineRule="exact"/>
        <w:ind w:left="0" w:left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行政处罚决定书</w:t>
      </w:r>
    </w:p>
    <w:p w14:paraId="1B7D2532">
      <w:pPr>
        <w:keepNext w:val="0"/>
        <w:keepLines w:val="0"/>
        <w:pageBreakBefore w:val="0"/>
        <w:widowControl w:val="0"/>
        <w:kinsoku/>
        <w:wordWrap/>
        <w:overflowPunct/>
        <w:topLinePunct w:val="0"/>
        <w:autoSpaceDE/>
        <w:autoSpaceDN/>
        <w:bidi w:val="0"/>
        <w:snapToGrid/>
        <w:spacing w:line="56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柳北市监</w:t>
      </w:r>
      <w:r>
        <w:rPr>
          <w:rFonts w:hint="eastAsia" w:ascii="仿宋_GB2312" w:hAnsi="仿宋_GB2312" w:eastAsia="仿宋_GB2312" w:cs="仿宋_GB2312"/>
          <w:color w:val="auto"/>
          <w:sz w:val="32"/>
          <w:szCs w:val="32"/>
          <w:lang w:eastAsia="zh-CN"/>
        </w:rPr>
        <w:t>处罚</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129 </w:t>
      </w:r>
      <w:r>
        <w:rPr>
          <w:rFonts w:hint="eastAsia" w:ascii="仿宋_GB2312" w:hAnsi="仿宋_GB2312" w:eastAsia="仿宋_GB2312" w:cs="仿宋_GB2312"/>
          <w:color w:val="auto"/>
          <w:sz w:val="32"/>
          <w:szCs w:val="32"/>
        </w:rPr>
        <w:t>号</w:t>
      </w:r>
    </w:p>
    <w:p w14:paraId="213BA7B5">
      <w:pPr>
        <w:keepNext w:val="0"/>
        <w:keepLines w:val="0"/>
        <w:pageBreakBefore w:val="0"/>
        <w:widowControl w:val="0"/>
        <w:kinsoku/>
        <w:wordWrap/>
        <w:overflowPunct/>
        <w:topLinePunct w:val="0"/>
        <w:autoSpaceDE/>
        <w:autoSpaceDN/>
        <w:bidi w:val="0"/>
        <w:adjustRightInd w:val="0"/>
        <w:snapToGrid/>
        <w:spacing w:line="560" w:lineRule="exact"/>
        <w:ind w:left="0" w:leftChars="0" w:right="233" w:rightChars="111"/>
        <w:textAlignment w:val="baseline"/>
        <w:rPr>
          <w:rFonts w:hint="eastAsia" w:ascii="仿宋_GB2312" w:hAnsi="仿宋_GB2312" w:eastAsia="仿宋_GB2312" w:cs="仿宋_GB2312"/>
          <w:color w:val="auto"/>
          <w:sz w:val="32"/>
          <w:szCs w:val="32"/>
        </w:rPr>
      </w:pPr>
    </w:p>
    <w:p w14:paraId="3FFA4675">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u w:val="none"/>
          <w:lang w:eastAsia="zh-CN"/>
        </w:rPr>
        <w:t>广西脚板洲健康管理有限公司柳州保利分公司</w:t>
      </w:r>
    </w:p>
    <w:p w14:paraId="105AFD25">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主体资格证照名称：营业执照  </w:t>
      </w:r>
    </w:p>
    <w:p w14:paraId="372990E9">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u w:val="none"/>
          <w:lang w:val="en-US" w:eastAsia="zh-CN"/>
        </w:rPr>
        <w:t>统一社会信用代码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91450205MA5QDUKG0R</w:t>
      </w:r>
    </w:p>
    <w:p w14:paraId="4AC5ED00">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经营场所：</w:t>
      </w:r>
      <w:r>
        <w:rPr>
          <w:rFonts w:hint="eastAsia" w:ascii="仿宋_GB2312" w:hAnsi="仿宋_GB2312" w:eastAsia="仿宋_GB2312" w:cs="仿宋_GB2312"/>
          <w:color w:val="auto"/>
          <w:sz w:val="32"/>
          <w:szCs w:val="32"/>
          <w:lang w:val="en-US" w:eastAsia="zh-CN"/>
        </w:rPr>
        <w:t>柳州市柳北区白沙路2号保利商业广场室外步行街3号独栋商铺</w:t>
      </w:r>
    </w:p>
    <w:p w14:paraId="759A468A">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负责人：王胡晓云</w:t>
      </w:r>
    </w:p>
    <w:p w14:paraId="2DB6A88C">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default"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身份证件号码：</w:t>
      </w:r>
      <w:r>
        <w:rPr>
          <w:rFonts w:hint="eastAsia" w:ascii="仿宋_GB2312" w:hAnsi="仿宋_GB2312" w:eastAsia="仿宋_GB2312" w:cs="仿宋_GB2312"/>
          <w:color w:val="auto"/>
          <w:sz w:val="32"/>
          <w:szCs w:val="32"/>
          <w:lang w:val="en-US" w:eastAsia="zh-CN"/>
        </w:rPr>
        <w:t>*</w:t>
      </w:r>
    </w:p>
    <w:p w14:paraId="6FC6D13D">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jc w:val="both"/>
        <w:textAlignment w:val="baseline"/>
        <w:outlineLvl w:val="9"/>
        <w:rPr>
          <w:rFonts w:hint="eastAsia" w:ascii="仿宋_GB2312" w:hAnsi="仿宋_GB2312" w:eastAsia="仿宋_GB2312" w:cs="仿宋_GB2312"/>
          <w:color w:val="auto"/>
          <w:sz w:val="32"/>
          <w:szCs w:val="32"/>
        </w:rPr>
      </w:pPr>
    </w:p>
    <w:p w14:paraId="34E8A7F2">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2024年6月12日，执法人员到当事人经营场所开展监督检查时，在其仓库货架上发现有超过使用期限的蒂花之秀植萃精油香氛护发乳（焗油保湿）（限期使用日期：2024/04/15）3瓶和化妆品网络备案已于2023年7月24日注销的泡慕香氛沐浴露（生产日期：20240521，产品执行的标准编号：苏G妆网备字2021505978）100瓶，执法人员现场依法对上述涉嫌未备案的泡慕香氛沐浴露采取扣押的行政强制措施。2024年6月25日，我局对当事人</w:t>
      </w:r>
      <w:r>
        <w:rPr>
          <w:rFonts w:hint="eastAsia" w:ascii="仿宋_GB2312" w:hAnsi="仿宋_GB2312" w:eastAsia="仿宋_GB2312" w:cs="仿宋_GB2312"/>
          <w:bCs/>
          <w:color w:val="auto"/>
          <w:sz w:val="32"/>
          <w:szCs w:val="32"/>
          <w:u w:val="none"/>
          <w:lang w:eastAsia="zh-CN"/>
        </w:rPr>
        <w:t>涉嫌</w:t>
      </w:r>
      <w:r>
        <w:rPr>
          <w:rFonts w:hint="eastAsia" w:ascii="仿宋_GB2312" w:hAnsi="仿宋_GB2312" w:eastAsia="仿宋_GB2312" w:cs="仿宋_GB2312"/>
          <w:color w:val="auto"/>
          <w:sz w:val="32"/>
          <w:szCs w:val="32"/>
          <w:u w:val="none"/>
          <w:lang w:val="en-US" w:eastAsia="zh-CN"/>
        </w:rPr>
        <w:t>未按规定定期检查并及时处理超过使用期限的化妆品的行为</w:t>
      </w:r>
      <w:r>
        <w:rPr>
          <w:rFonts w:hint="eastAsia" w:ascii="仿宋_GB2312" w:hAnsi="仿宋_GB2312" w:eastAsia="仿宋_GB2312" w:cs="仿宋_GB2312"/>
          <w:bCs/>
          <w:color w:val="auto"/>
          <w:sz w:val="32"/>
          <w:szCs w:val="32"/>
          <w:u w:val="none"/>
          <w:lang w:val="en-US" w:eastAsia="zh-CN"/>
        </w:rPr>
        <w:t>予以立案调查。</w:t>
      </w:r>
      <w:r>
        <w:rPr>
          <w:rFonts w:hint="eastAsia" w:ascii="仿宋_GB2312" w:hAnsi="仿宋_GB2312" w:eastAsia="仿宋_GB2312" w:cs="仿宋_GB2312"/>
          <w:color w:val="auto"/>
          <w:sz w:val="32"/>
          <w:szCs w:val="32"/>
          <w:u w:val="none"/>
          <w:lang w:val="en-US" w:eastAsia="zh-CN"/>
        </w:rPr>
        <w:t xml:space="preserve">                                    </w:t>
      </w:r>
    </w:p>
    <w:p w14:paraId="212FFC4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查实，当事人化妆品进销存的情况如下：（1）从*购进蒂花之秀植萃精油香氛护发乳（焗油保湿）（生产批号：PQ：353707，限期使用日期：2024/04/15，制造商：*，净含量：1L），库存数量3瓶于当事人仓库内未使用；（2）2024年5月11日从*购进100瓶泡慕香氛沐浴露（生产批号：JZ240521，生产日期：20240521，产品执行的标准编号：苏G妆网备字2021505978，备案人/生产企业：*，净含量：500ML），进货单9.9元/瓶，进货金额990元，库存数量100瓶于当事人仓库内未使用。当事人购进上述两批次化妆品时未建立进货查验记录制度，购进上述蒂花之秀植萃精油香氛护发乳（焗油保湿）时未保存产品出厂检验合格证明，截至2024年6月12日被我局依法查获时，上述库存的蒂花之秀植萃精油香氛护发乳（焗油保湿）已超过使用期限但仍放置于当事人仓库货架上。</w:t>
      </w:r>
    </w:p>
    <w:p w14:paraId="674E0AB7">
      <w:pPr>
        <w:pStyle w:val="2"/>
        <w:keepNext w:val="0"/>
        <w:keepLines w:val="0"/>
        <w:pageBreakBefore w:val="0"/>
        <w:widowControl w:val="0"/>
        <w:kinsoku/>
        <w:wordWrap/>
        <w:overflowPunct/>
        <w:topLinePunct w:val="0"/>
        <w:bidi w:val="0"/>
        <w:snapToGrid/>
        <w:spacing w:line="520" w:lineRule="exact"/>
        <w:ind w:left="0" w:leftChars="0" w:right="0" w:rightChars="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u w:val="none"/>
        </w:rPr>
        <w:t>上述事实，主要有以下证据证明：</w:t>
      </w:r>
    </w:p>
    <w:p w14:paraId="1C807815">
      <w:pPr>
        <w:pStyle w:val="2"/>
        <w:keepNext w:val="0"/>
        <w:keepLines w:val="0"/>
        <w:pageBreakBefore w:val="0"/>
        <w:widowControl w:val="0"/>
        <w:kinsoku/>
        <w:wordWrap/>
        <w:overflowPunct/>
        <w:topLinePunct w:val="0"/>
        <w:bidi w:val="0"/>
        <w:snapToGrid/>
        <w:spacing w:line="52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 xml:space="preserve">    1.当事人的《营业执照》</w:t>
      </w:r>
      <w:r>
        <w:rPr>
          <w:rFonts w:hint="eastAsia" w:ascii="仿宋_GB2312" w:hAnsi="仿宋_GB2312" w:eastAsia="仿宋_GB2312" w:cs="仿宋_GB2312"/>
          <w:b w:val="0"/>
          <w:bCs w:val="0"/>
          <w:color w:val="auto"/>
          <w:sz w:val="32"/>
          <w:szCs w:val="32"/>
          <w:highlight w:val="none"/>
          <w:u w:val="none"/>
          <w:lang w:val="en-US" w:eastAsia="zh-CN"/>
        </w:rPr>
        <w:t>复印</w:t>
      </w:r>
      <w:r>
        <w:rPr>
          <w:rFonts w:hint="eastAsia" w:ascii="仿宋_GB2312" w:hAnsi="仿宋_GB2312" w:eastAsia="仿宋_GB2312" w:cs="仿宋_GB2312"/>
          <w:b w:val="0"/>
          <w:bCs w:val="0"/>
          <w:color w:val="auto"/>
          <w:sz w:val="32"/>
          <w:szCs w:val="32"/>
          <w:u w:val="none"/>
          <w:lang w:val="en-US" w:eastAsia="zh-CN"/>
        </w:rPr>
        <w:t>件1份，负责人王胡晓云</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u w:val="none"/>
          <w:lang w:val="en-US" w:eastAsia="zh-CN"/>
        </w:rPr>
        <w:t>身份证复印件1份，受</w:t>
      </w:r>
      <w:r>
        <w:rPr>
          <w:rFonts w:hint="eastAsia" w:ascii="仿宋_GB2312" w:hAnsi="仿宋_GB2312" w:eastAsia="仿宋_GB2312" w:cs="仿宋_GB2312"/>
          <w:bCs/>
          <w:color w:val="auto"/>
          <w:sz w:val="32"/>
          <w:szCs w:val="32"/>
          <w:u w:val="none"/>
          <w:lang w:val="en-US" w:eastAsia="zh-CN"/>
        </w:rPr>
        <w:t>委</w:t>
      </w:r>
      <w:r>
        <w:rPr>
          <w:rFonts w:hint="eastAsia" w:ascii="仿宋_GB2312" w:hAnsi="仿宋_GB2312" w:eastAsia="仿宋_GB2312" w:cs="仿宋_GB2312"/>
          <w:b w:val="0"/>
          <w:bCs w:val="0"/>
          <w:color w:val="auto"/>
          <w:sz w:val="32"/>
          <w:szCs w:val="32"/>
          <w:u w:val="none"/>
          <w:lang w:val="en-US" w:eastAsia="zh-CN"/>
        </w:rPr>
        <w:t>托人朱翠玲的身份证复印件1份，授权委托书1份，证明当事人的主体资格及</w:t>
      </w:r>
      <w:r>
        <w:rPr>
          <w:rFonts w:hint="eastAsia" w:ascii="仿宋_GB2312" w:hAnsi="仿宋_GB2312" w:eastAsia="仿宋_GB2312" w:cs="仿宋_GB2312"/>
          <w:bCs/>
          <w:color w:val="auto"/>
          <w:sz w:val="32"/>
          <w:szCs w:val="32"/>
          <w:u w:val="none"/>
          <w:lang w:val="en-US" w:eastAsia="zh-CN"/>
        </w:rPr>
        <w:t>负责人、受委托人的身份信息。</w:t>
      </w:r>
    </w:p>
    <w:p w14:paraId="1B23E0A1">
      <w:pPr>
        <w:pStyle w:val="2"/>
        <w:keepNext w:val="0"/>
        <w:keepLines w:val="0"/>
        <w:pageBreakBefore w:val="0"/>
        <w:widowControl w:val="0"/>
        <w:kinsoku/>
        <w:wordWrap/>
        <w:overflowPunct/>
        <w:topLinePunct w:val="0"/>
        <w:bidi w:val="0"/>
        <w:snapToGrid/>
        <w:spacing w:line="520" w:lineRule="exact"/>
        <w:ind w:left="0" w:leftChars="0" w:right="0" w:rightChars="0" w:firstLine="64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2.供货商</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的《营业执照》、《化妆品生产许可证》复印件各1份，蒂花之秀植萃精油香氛护发乳（焗油保湿）的《国产普通化妆品备案信息》打印件1份；供货商</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的《营业执照》复印件1份，《</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发货单》1份，《</w:t>
      </w:r>
      <w:r>
        <w:rPr>
          <w:rFonts w:hint="eastAsia" w:hAnsi="仿宋_GB2312" w:cs="仿宋_GB2312"/>
          <w:bCs/>
          <w:color w:val="auto"/>
          <w:sz w:val="32"/>
          <w:szCs w:val="32"/>
          <w:u w:val="none"/>
          <w:lang w:val="en-US" w:eastAsia="zh-CN"/>
        </w:rPr>
        <w:t>*</w:t>
      </w:r>
      <w:bookmarkStart w:id="0" w:name="_GoBack"/>
      <w:bookmarkEnd w:id="0"/>
      <w:r>
        <w:rPr>
          <w:rFonts w:hint="eastAsia" w:ascii="仿宋_GB2312" w:hAnsi="仿宋_GB2312" w:eastAsia="仿宋_GB2312" w:cs="仿宋_GB2312"/>
          <w:bCs/>
          <w:color w:val="auto"/>
          <w:sz w:val="32"/>
          <w:szCs w:val="32"/>
          <w:u w:val="none"/>
          <w:lang w:val="en-US" w:eastAsia="zh-CN"/>
        </w:rPr>
        <w:t>成品检验报告》复印件1份，泡慕香氛沐浴露的《国产普通化妆品备案信息》打印件2份，证明当事人购进上述化妆品的来源和进货查验情况。</w:t>
      </w:r>
    </w:p>
    <w:p w14:paraId="6C0E07FC">
      <w:pPr>
        <w:pStyle w:val="2"/>
        <w:keepNext w:val="0"/>
        <w:keepLines w:val="0"/>
        <w:pageBreakBefore w:val="0"/>
        <w:widowControl w:val="0"/>
        <w:kinsoku/>
        <w:wordWrap/>
        <w:overflowPunct/>
        <w:topLinePunct w:val="0"/>
        <w:bidi w:val="0"/>
        <w:snapToGrid/>
        <w:spacing w:line="520" w:lineRule="exact"/>
        <w:ind w:left="0" w:leftChars="0" w:right="0" w:rightChars="0" w:firstLine="640"/>
        <w:jc w:val="both"/>
        <w:textAlignment w:val="auto"/>
        <w:rPr>
          <w:rFonts w:hint="eastAsia" w:ascii="仿宋_GB2312" w:hAnsi="仿宋_GB2312" w:eastAsia="仿宋_GB2312" w:cs="仿宋_GB2312"/>
          <w:bCs/>
          <w:color w:val="auto"/>
          <w:sz w:val="32"/>
          <w:szCs w:val="32"/>
          <w:u w:val="none"/>
          <w:lang w:val="en-US" w:eastAsia="zh-CN"/>
        </w:rPr>
      </w:pPr>
      <w:r>
        <w:rPr>
          <w:rFonts w:hint="eastAsia" w:hAnsi="仿宋_GB2312" w:cs="仿宋_GB2312"/>
          <w:bCs/>
          <w:color w:val="auto"/>
          <w:sz w:val="32"/>
          <w:szCs w:val="32"/>
          <w:u w:val="none"/>
          <w:lang w:val="en-US" w:eastAsia="zh-CN"/>
        </w:rPr>
        <w:t>3</w:t>
      </w:r>
      <w:r>
        <w:rPr>
          <w:rFonts w:hint="eastAsia" w:ascii="仿宋_GB2312" w:hAnsi="仿宋_GB2312" w:eastAsia="仿宋_GB2312" w:cs="仿宋_GB2312"/>
          <w:bCs/>
          <w:color w:val="auto"/>
          <w:sz w:val="32"/>
          <w:szCs w:val="32"/>
          <w:u w:val="none"/>
          <w:lang w:val="en-US" w:eastAsia="zh-CN"/>
        </w:rPr>
        <w:t>.现场笔录1份，询问笔录1份，证据提取单8份，实施行政强制措施决定书及财物清单</w:t>
      </w:r>
      <w:r>
        <w:rPr>
          <w:rFonts w:hint="eastAsia" w:hAnsi="仿宋_GB2312" w:cs="仿宋_GB2312"/>
          <w:bCs/>
          <w:color w:val="auto"/>
          <w:sz w:val="32"/>
          <w:szCs w:val="32"/>
          <w:u w:val="none"/>
          <w:lang w:val="en-US" w:eastAsia="zh-CN"/>
        </w:rPr>
        <w:t>、延长行政强制措施期限决定书、解除行政强制措施决定书及财物清单</w:t>
      </w:r>
      <w:r>
        <w:rPr>
          <w:rFonts w:hint="eastAsia" w:ascii="仿宋_GB2312" w:hAnsi="仿宋_GB2312" w:eastAsia="仿宋_GB2312" w:cs="仿宋_GB2312"/>
          <w:bCs/>
          <w:color w:val="auto"/>
          <w:sz w:val="32"/>
          <w:szCs w:val="32"/>
          <w:u w:val="none"/>
          <w:lang w:val="en-US" w:eastAsia="zh-CN"/>
        </w:rPr>
        <w:t>各1份，证明当事人</w:t>
      </w:r>
      <w:r>
        <w:rPr>
          <w:rFonts w:hint="eastAsia" w:ascii="仿宋_GB2312" w:hAnsi="仿宋_GB2312" w:eastAsia="仿宋_GB2312" w:cs="仿宋_GB2312"/>
          <w:color w:val="auto"/>
          <w:sz w:val="32"/>
          <w:szCs w:val="32"/>
          <w:lang w:val="en-US" w:eastAsia="zh-CN"/>
        </w:rPr>
        <w:t>购进上述两批次化妆品时未建立进货查验记录制度，购进上述蒂花之秀植萃精油香氛护发乳（焗油保湿）时未保存产品出厂检验合格证明</w:t>
      </w:r>
      <w:r>
        <w:rPr>
          <w:rFonts w:hint="eastAsia" w:hAnsi="仿宋_GB2312" w:cs="仿宋_GB2312"/>
          <w:color w:val="auto"/>
          <w:sz w:val="32"/>
          <w:szCs w:val="32"/>
          <w:lang w:val="en-US" w:eastAsia="zh-CN"/>
        </w:rPr>
        <w:t>及</w:t>
      </w:r>
      <w:r>
        <w:rPr>
          <w:rFonts w:hint="eastAsia" w:ascii="仿宋_GB2312" w:hAnsi="仿宋_GB2312" w:eastAsia="仿宋_GB2312" w:cs="仿宋_GB2312"/>
          <w:color w:val="auto"/>
          <w:sz w:val="32"/>
          <w:szCs w:val="32"/>
          <w:lang w:val="en-US" w:eastAsia="zh-CN"/>
        </w:rPr>
        <w:t>上述库存的蒂花之秀植萃精油香氛护发乳（焗油保湿）已超过使用期限但仍放置于当事人仓库货架上</w:t>
      </w:r>
      <w:r>
        <w:rPr>
          <w:rFonts w:hint="eastAsia" w:ascii="仿宋_GB2312" w:hAnsi="仿宋_GB2312" w:eastAsia="仿宋_GB2312" w:cs="仿宋_GB2312"/>
          <w:bCs/>
          <w:color w:val="auto"/>
          <w:sz w:val="32"/>
          <w:szCs w:val="32"/>
          <w:u w:val="none"/>
          <w:lang w:val="en-US" w:eastAsia="zh-CN"/>
        </w:rPr>
        <w:t>的事实。</w:t>
      </w:r>
    </w:p>
    <w:p w14:paraId="132FD686">
      <w:pPr>
        <w:pStyle w:val="2"/>
        <w:keepNext w:val="0"/>
        <w:keepLines w:val="0"/>
        <w:pageBreakBefore w:val="0"/>
        <w:widowControl w:val="0"/>
        <w:kinsoku/>
        <w:wordWrap/>
        <w:overflowPunct/>
        <w:topLinePunct w:val="0"/>
        <w:bidi w:val="0"/>
        <w:snapToGrid/>
        <w:spacing w:line="520" w:lineRule="exact"/>
        <w:ind w:left="0" w:leftChars="0" w:right="0" w:rightChars="0" w:firstLine="64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以上证据均由</w:t>
      </w:r>
      <w:r>
        <w:rPr>
          <w:rFonts w:hint="eastAsia" w:ascii="仿宋_GB2312" w:hAnsi="仿宋_GB2312" w:eastAsia="仿宋_GB2312" w:cs="仿宋_GB2312"/>
          <w:bCs/>
          <w:color w:val="auto"/>
          <w:sz w:val="32"/>
          <w:szCs w:val="32"/>
          <w:u w:val="none"/>
          <w:lang w:val="en-US" w:eastAsia="zh-CN"/>
        </w:rPr>
        <w:t>受委托人</w:t>
      </w:r>
      <w:r>
        <w:rPr>
          <w:rFonts w:hint="eastAsia" w:ascii="仿宋_GB2312" w:hAnsi="仿宋_GB2312" w:eastAsia="仿宋_GB2312" w:cs="仿宋_GB2312"/>
          <w:b w:val="0"/>
          <w:bCs w:val="0"/>
          <w:color w:val="auto"/>
          <w:sz w:val="32"/>
          <w:szCs w:val="32"/>
          <w:u w:val="none"/>
          <w:lang w:val="en-US" w:eastAsia="zh-CN"/>
        </w:rPr>
        <w:t>签名认可。</w:t>
      </w:r>
    </w:p>
    <w:p w14:paraId="7872FC67">
      <w:pPr>
        <w:pStyle w:val="2"/>
        <w:keepNext w:val="0"/>
        <w:keepLines w:val="0"/>
        <w:pageBreakBefore w:val="0"/>
        <w:widowControl w:val="0"/>
        <w:kinsoku/>
        <w:wordWrap/>
        <w:overflowPunct/>
        <w:topLinePunct w:val="0"/>
        <w:bidi w:val="0"/>
        <w:snapToGrid/>
        <w:spacing w:line="520" w:lineRule="exact"/>
        <w:ind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我局于2024年</w:t>
      </w:r>
      <w:r>
        <w:rPr>
          <w:rFonts w:hint="eastAsia" w:hAnsi="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lang w:val="en-US" w:eastAsia="zh-CN"/>
        </w:rPr>
        <w:t>月</w:t>
      </w:r>
      <w:r>
        <w:rPr>
          <w:rFonts w:hint="eastAsia" w:hAnsi="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lang w:val="en-US" w:eastAsia="zh-CN"/>
        </w:rPr>
        <w:t>日向当事人送达了《行政处罚告知书》（柳北市监罚告〔2024〕</w:t>
      </w:r>
      <w:r>
        <w:rPr>
          <w:rFonts w:hint="eastAsia" w:hAnsi="仿宋_GB2312" w:cs="仿宋_GB2312"/>
          <w:color w:val="auto"/>
          <w:sz w:val="32"/>
          <w:szCs w:val="32"/>
          <w:u w:val="none"/>
          <w:lang w:val="en-US" w:eastAsia="zh-CN"/>
        </w:rPr>
        <w:t>144</w:t>
      </w:r>
      <w:r>
        <w:rPr>
          <w:rFonts w:hint="eastAsia" w:ascii="仿宋_GB2312" w:hAnsi="仿宋_GB2312" w:eastAsia="仿宋_GB2312" w:cs="仿宋_GB2312"/>
          <w:color w:val="auto"/>
          <w:sz w:val="32"/>
          <w:szCs w:val="32"/>
          <w:u w:val="none"/>
          <w:lang w:val="en-US" w:eastAsia="zh-CN"/>
        </w:rPr>
        <w:t>号），</w:t>
      </w:r>
      <w:r>
        <w:rPr>
          <w:rFonts w:hint="eastAsia" w:ascii="仿宋_GB2312" w:hAnsi="仿宋_GB2312" w:eastAsia="仿宋_GB2312" w:cs="仿宋_GB2312"/>
          <w:bCs/>
          <w:color w:val="auto"/>
          <w:sz w:val="32"/>
          <w:szCs w:val="32"/>
          <w:u w:val="none"/>
          <w:lang w:val="en-US" w:eastAsia="zh-CN"/>
        </w:rPr>
        <w:t>告知当事人我局拟作出行政处罚的事实、理由、依据、处罚内容及享有的权利</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 xml:space="preserve">当事人在法定期限内未向我局提出陈述、申辩。 </w:t>
      </w:r>
    </w:p>
    <w:p w14:paraId="03009C3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购进上述两批次化妆品时未建立进货查验记录制度，购进上述蒂花之秀植萃精油香氛护发乳（焗油保湿）时未保存产品出厂检验合格证明的行为，违反了《化妆品监督管理条例》第三十八条第一款和第三十一条第一款、</w:t>
      </w:r>
      <w:r>
        <w:rPr>
          <w:rFonts w:hint="eastAsia" w:ascii="仿宋_GB2312" w:hAnsi="仿宋_GB2312" w:eastAsia="仿宋_GB2312" w:cs="仿宋_GB2312"/>
          <w:bCs/>
          <w:color w:val="auto"/>
          <w:sz w:val="32"/>
          <w:szCs w:val="32"/>
          <w:highlight w:val="none"/>
          <w:lang w:val="en-US" w:eastAsia="zh-CN"/>
        </w:rPr>
        <w:t>第四十二条</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bCs/>
          <w:color w:val="auto"/>
          <w:sz w:val="32"/>
          <w:szCs w:val="32"/>
          <w:u w:val="none"/>
          <w:lang w:val="en-US" w:eastAsia="zh-CN"/>
        </w:rPr>
        <w:t>属于未</w:t>
      </w:r>
      <w:r>
        <w:rPr>
          <w:rFonts w:hint="eastAsia" w:ascii="仿宋_GB2312" w:hAnsi="仿宋_GB2312" w:eastAsia="仿宋_GB2312" w:cs="仿宋_GB2312"/>
          <w:color w:val="auto"/>
          <w:sz w:val="32"/>
          <w:szCs w:val="32"/>
          <w:highlight w:val="none"/>
          <w:lang w:val="en-US" w:eastAsia="zh-CN"/>
        </w:rPr>
        <w:t>按规定建立并</w:t>
      </w:r>
      <w:r>
        <w:rPr>
          <w:rFonts w:hint="eastAsia" w:ascii="仿宋_GB2312" w:hAnsi="仿宋_GB2312" w:eastAsia="仿宋_GB2312" w:cs="仿宋_GB2312"/>
          <w:bCs/>
          <w:color w:val="auto"/>
          <w:sz w:val="32"/>
          <w:szCs w:val="32"/>
          <w:u w:val="none"/>
          <w:lang w:val="en-US" w:eastAsia="zh-CN"/>
        </w:rPr>
        <w:t>执行进货查验记录制度</w:t>
      </w:r>
      <w:r>
        <w:rPr>
          <w:rFonts w:hint="eastAsia" w:ascii="仿宋_GB2312" w:hAnsi="仿宋_GB2312" w:eastAsia="仿宋_GB2312" w:cs="仿宋_GB2312"/>
          <w:color w:val="auto"/>
          <w:sz w:val="32"/>
          <w:szCs w:val="32"/>
          <w:highlight w:val="none"/>
          <w:lang w:val="en-US" w:eastAsia="zh-CN"/>
        </w:rPr>
        <w:t>经营使用化妆品</w:t>
      </w:r>
      <w:r>
        <w:rPr>
          <w:rFonts w:hint="eastAsia" w:ascii="仿宋_GB2312" w:hAnsi="仿宋_GB2312" w:eastAsia="仿宋_GB2312" w:cs="仿宋_GB2312"/>
          <w:bCs/>
          <w:color w:val="auto"/>
          <w:sz w:val="32"/>
          <w:szCs w:val="32"/>
          <w:u w:val="none"/>
          <w:lang w:val="en-US" w:eastAsia="zh-CN"/>
        </w:rPr>
        <w:t>的行为。</w:t>
      </w:r>
    </w:p>
    <w:p w14:paraId="46A7EF8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bCs/>
          <w:color w:val="auto"/>
          <w:sz w:val="32"/>
          <w:szCs w:val="32"/>
          <w:u w:val="none"/>
          <w:lang w:val="en-US" w:eastAsia="zh-CN"/>
        </w:rPr>
        <w:t>将</w:t>
      </w:r>
      <w:r>
        <w:rPr>
          <w:rFonts w:hint="eastAsia" w:ascii="仿宋_GB2312" w:hAnsi="仿宋_GB2312" w:eastAsia="仿宋_GB2312" w:cs="仿宋_GB2312"/>
          <w:color w:val="auto"/>
          <w:kern w:val="0"/>
          <w:sz w:val="32"/>
          <w:szCs w:val="32"/>
          <w:lang w:val="en-US" w:eastAsia="zh-CN" w:bidi="ar-SA"/>
        </w:rPr>
        <w:t>上述超过使用期限的</w:t>
      </w:r>
      <w:r>
        <w:rPr>
          <w:rFonts w:hint="eastAsia" w:ascii="仿宋_GB2312" w:hAnsi="仿宋_GB2312" w:eastAsia="仿宋_GB2312" w:cs="仿宋_GB2312"/>
          <w:color w:val="auto"/>
          <w:sz w:val="32"/>
          <w:szCs w:val="32"/>
          <w:lang w:val="en-US" w:eastAsia="zh-CN"/>
        </w:rPr>
        <w:t>蒂花之秀植萃精油香氛护发乳（焗油保湿）放置于仓库货架上的行为</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b w:val="0"/>
          <w:bCs/>
          <w:color w:val="auto"/>
          <w:sz w:val="32"/>
          <w:szCs w:val="32"/>
          <w:u w:val="none"/>
          <w:lang w:eastAsia="zh-CN"/>
        </w:rPr>
        <w:t>违反了</w:t>
      </w:r>
      <w:r>
        <w:rPr>
          <w:rFonts w:hint="eastAsia" w:ascii="仿宋_GB2312" w:hAnsi="仿宋_GB2312" w:eastAsia="仿宋_GB2312" w:cs="仿宋_GB2312"/>
          <w:b w:val="0"/>
          <w:bCs/>
          <w:color w:val="auto"/>
          <w:sz w:val="32"/>
          <w:szCs w:val="32"/>
          <w:u w:val="none"/>
        </w:rPr>
        <w:t>《化妆品监督管理条例》第三十九条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z w:val="32"/>
          <w:szCs w:val="32"/>
          <w:highlight w:val="none"/>
          <w:lang w:val="en-US" w:eastAsia="zh-CN"/>
        </w:rPr>
        <w:t>第四十二条</w:t>
      </w:r>
      <w:r>
        <w:rPr>
          <w:rFonts w:hint="eastAsia" w:ascii="仿宋_GB2312" w:hAnsi="仿宋_GB2312" w:eastAsia="仿宋_GB2312" w:cs="仿宋_GB2312"/>
          <w:b w:val="0"/>
          <w:bCs/>
          <w:color w:val="auto"/>
          <w:sz w:val="32"/>
          <w:szCs w:val="32"/>
          <w:u w:val="none"/>
          <w:lang w:eastAsia="zh-CN"/>
        </w:rPr>
        <w:t>的规定，</w:t>
      </w:r>
      <w:r>
        <w:rPr>
          <w:rFonts w:hint="eastAsia" w:ascii="仿宋_GB2312" w:hAnsi="仿宋_GB2312" w:eastAsia="仿宋_GB2312" w:cs="仿宋_GB2312"/>
          <w:color w:val="auto"/>
          <w:sz w:val="32"/>
          <w:szCs w:val="32"/>
          <w:u w:val="none"/>
          <w:lang w:val="en-US" w:eastAsia="zh-CN"/>
        </w:rPr>
        <w:t>属于未按规定定期检查并及时处理超过使用期限的化妆品的行为</w:t>
      </w:r>
      <w:r>
        <w:rPr>
          <w:rFonts w:hint="eastAsia" w:ascii="仿宋_GB2312" w:hAnsi="仿宋_GB2312" w:eastAsia="仿宋_GB2312" w:cs="仿宋_GB2312"/>
          <w:bCs/>
          <w:color w:val="auto"/>
          <w:sz w:val="32"/>
          <w:szCs w:val="32"/>
          <w:u w:val="none"/>
          <w:lang w:val="en-US" w:eastAsia="zh-CN"/>
        </w:rPr>
        <w:t xml:space="preserve">。  </w:t>
      </w:r>
    </w:p>
    <w:p w14:paraId="5F71A2B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lang w:val="en-US" w:eastAsia="zh-CN"/>
        </w:rPr>
        <w:t>在案件调查过程中</w:t>
      </w:r>
      <w:r>
        <w:rPr>
          <w:rFonts w:hint="eastAsia" w:ascii="仿宋_GB2312" w:hAnsi="仿宋_GB2312" w:eastAsia="仿宋_GB2312" w:cs="仿宋_GB2312"/>
          <w:bCs/>
          <w:color w:val="auto"/>
          <w:sz w:val="32"/>
          <w:szCs w:val="32"/>
          <w:u w:val="none"/>
          <w:lang w:val="en-US" w:eastAsia="zh-CN"/>
        </w:rPr>
        <w:t>当事人</w:t>
      </w:r>
      <w:r>
        <w:rPr>
          <w:rFonts w:hint="eastAsia" w:ascii="仿宋_GB2312" w:hAnsi="仿宋_GB2312" w:eastAsia="仿宋_GB2312" w:cs="仿宋_GB2312"/>
          <w:color w:val="auto"/>
          <w:sz w:val="32"/>
          <w:szCs w:val="32"/>
          <w:lang w:val="en-US" w:eastAsia="zh-CN"/>
        </w:rPr>
        <w:t>积极主动配合我局调查，如实陈述违法事实并主动提供证据材料，具有市场监管总局</w:t>
      </w:r>
      <w:r>
        <w:rPr>
          <w:rFonts w:hint="eastAsia" w:ascii="仿宋_GB2312" w:hAnsi="仿宋_GB2312" w:eastAsia="仿宋_GB2312" w:cs="仿宋_GB2312"/>
          <w:bCs/>
          <w:color w:val="auto"/>
          <w:sz w:val="32"/>
          <w:szCs w:val="32"/>
          <w:u w:val="none"/>
          <w:lang w:val="en-US" w:eastAsia="zh-CN"/>
        </w:rPr>
        <w:t>《关于规范市场监督管理行政处罚裁量权的指导意见》第十四条第一款第二项</w:t>
      </w:r>
      <w:r>
        <w:rPr>
          <w:rFonts w:hint="eastAsia" w:ascii="仿宋_GB2312" w:hAnsi="仿宋_GB2312" w:eastAsia="仿宋_GB2312" w:cs="仿宋_GB2312"/>
          <w:color w:val="auto"/>
          <w:sz w:val="32"/>
          <w:szCs w:val="32"/>
          <w:lang w:val="en-US" w:eastAsia="zh-CN"/>
        </w:rPr>
        <w:t>规定的可以依法从轻或者减轻行政处罚的情形。依据《中华人民共和国行政处罚法》</w:t>
      </w:r>
      <w:r>
        <w:rPr>
          <w:rFonts w:hint="eastAsia" w:ascii="仿宋_GB2312" w:hAnsi="仿宋_GB2312" w:eastAsia="仿宋_GB2312" w:cs="仿宋_GB2312"/>
          <w:bCs/>
          <w:color w:val="auto"/>
          <w:sz w:val="32"/>
          <w:szCs w:val="32"/>
          <w:u w:val="none"/>
          <w:lang w:val="en-US" w:eastAsia="zh-CN"/>
        </w:rPr>
        <w:t>第五条、第六条</w:t>
      </w:r>
      <w:r>
        <w:rPr>
          <w:rFonts w:hint="eastAsia" w:ascii="仿宋_GB2312" w:hAnsi="仿宋_GB2312" w:eastAsia="仿宋_GB2312" w:cs="仿宋_GB2312"/>
          <w:color w:val="auto"/>
          <w:sz w:val="32"/>
          <w:szCs w:val="32"/>
          <w:lang w:val="en-US" w:eastAsia="zh-CN"/>
        </w:rPr>
        <w:t>的规定，我局决定对当事人减轻行政处罚。</w:t>
      </w:r>
      <w:r>
        <w:rPr>
          <w:rFonts w:hint="eastAsia" w:ascii="仿宋_GB2312" w:hAnsi="仿宋_GB2312" w:eastAsia="仿宋_GB2312" w:cs="仿宋_GB2312"/>
          <w:bCs/>
          <w:color w:val="auto"/>
          <w:sz w:val="32"/>
          <w:szCs w:val="32"/>
          <w:u w:val="none"/>
          <w:lang w:val="en-US" w:eastAsia="zh-CN"/>
        </w:rPr>
        <w:t xml:space="preserve">               </w:t>
      </w:r>
    </w:p>
    <w:p w14:paraId="09F4137C">
      <w:pPr>
        <w:pStyle w:val="2"/>
        <w:keepNext w:val="0"/>
        <w:keepLines w:val="0"/>
        <w:pageBreakBefore w:val="0"/>
        <w:widowControl w:val="0"/>
        <w:numPr>
          <w:ilvl w:val="0"/>
          <w:numId w:val="0"/>
        </w:numPr>
        <w:kinsoku/>
        <w:wordWrap/>
        <w:overflowPunct/>
        <w:topLinePunct w:val="0"/>
        <w:bidi w:val="0"/>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对于当事人</w:t>
      </w:r>
      <w:r>
        <w:rPr>
          <w:rFonts w:hint="eastAsia" w:ascii="仿宋_GB2312" w:hAnsi="仿宋_GB2312" w:eastAsia="仿宋_GB2312" w:cs="仿宋_GB2312"/>
          <w:bCs/>
          <w:color w:val="auto"/>
          <w:sz w:val="32"/>
          <w:szCs w:val="32"/>
          <w:u w:val="none"/>
          <w:lang w:val="en-US" w:eastAsia="zh-CN"/>
        </w:rPr>
        <w:t>未</w:t>
      </w:r>
      <w:r>
        <w:rPr>
          <w:rFonts w:hint="eastAsia" w:ascii="仿宋_GB2312" w:hAnsi="仿宋_GB2312" w:eastAsia="仿宋_GB2312" w:cs="仿宋_GB2312"/>
          <w:color w:val="auto"/>
          <w:sz w:val="32"/>
          <w:szCs w:val="32"/>
          <w:highlight w:val="none"/>
          <w:lang w:val="en-US" w:eastAsia="zh-CN"/>
        </w:rPr>
        <w:t>按规定建立并</w:t>
      </w:r>
      <w:r>
        <w:rPr>
          <w:rFonts w:hint="eastAsia" w:ascii="仿宋_GB2312" w:hAnsi="仿宋_GB2312" w:eastAsia="仿宋_GB2312" w:cs="仿宋_GB2312"/>
          <w:bCs/>
          <w:color w:val="auto"/>
          <w:sz w:val="32"/>
          <w:szCs w:val="32"/>
          <w:u w:val="none"/>
          <w:lang w:val="en-US" w:eastAsia="zh-CN"/>
        </w:rPr>
        <w:t>执行进货查验记录制度</w:t>
      </w:r>
      <w:r>
        <w:rPr>
          <w:rFonts w:hint="eastAsia" w:ascii="仿宋_GB2312" w:hAnsi="仿宋_GB2312" w:eastAsia="仿宋_GB2312" w:cs="仿宋_GB2312"/>
          <w:color w:val="auto"/>
          <w:sz w:val="32"/>
          <w:szCs w:val="32"/>
          <w:highlight w:val="none"/>
          <w:lang w:val="en-US" w:eastAsia="zh-CN"/>
        </w:rPr>
        <w:t>经营使用化妆品</w:t>
      </w:r>
      <w:r>
        <w:rPr>
          <w:rFonts w:hint="eastAsia" w:ascii="仿宋_GB2312" w:hAnsi="仿宋_GB2312" w:eastAsia="仿宋_GB2312" w:cs="仿宋_GB2312"/>
          <w:bCs/>
          <w:color w:val="auto"/>
          <w:sz w:val="32"/>
          <w:szCs w:val="32"/>
          <w:u w:val="none"/>
          <w:lang w:val="en-US" w:eastAsia="zh-CN"/>
        </w:rPr>
        <w:t>的行为，</w:t>
      </w:r>
      <w:r>
        <w:rPr>
          <w:rFonts w:hint="eastAsia" w:ascii="仿宋_GB2312" w:hAnsi="仿宋_GB2312" w:eastAsia="仿宋_GB2312" w:cs="仿宋_GB2312"/>
          <w:color w:val="auto"/>
          <w:sz w:val="32"/>
          <w:szCs w:val="32"/>
          <w:lang w:val="en-US" w:eastAsia="zh-CN"/>
        </w:rPr>
        <w:t>依据《化妆品监督管理条例》第六十二条第一款第二项的规定，</w:t>
      </w:r>
      <w:r>
        <w:rPr>
          <w:rFonts w:hint="eastAsia" w:hAnsi="仿宋_GB2312" w:cs="仿宋_GB2312"/>
          <w:color w:val="auto"/>
          <w:sz w:val="32"/>
          <w:szCs w:val="32"/>
          <w:lang w:val="en-US" w:eastAsia="zh-CN"/>
        </w:rPr>
        <w:t>我局决定</w:t>
      </w:r>
      <w:r>
        <w:rPr>
          <w:rFonts w:hint="eastAsia" w:ascii="仿宋_GB2312" w:hAnsi="仿宋_GB2312" w:eastAsia="仿宋_GB2312" w:cs="仿宋_GB2312"/>
          <w:color w:val="auto"/>
          <w:sz w:val="32"/>
          <w:szCs w:val="32"/>
          <w:lang w:val="en-US" w:eastAsia="zh-CN"/>
        </w:rPr>
        <w:t>责令当事人立即改正该违法行为，给予警告，并处罚款2000元的行政处罚。</w:t>
      </w:r>
    </w:p>
    <w:p w14:paraId="4AD0D580">
      <w:pPr>
        <w:pStyle w:val="2"/>
        <w:keepNext w:val="0"/>
        <w:keepLines w:val="0"/>
        <w:pageBreakBefore w:val="0"/>
        <w:widowControl w:val="0"/>
        <w:numPr>
          <w:ilvl w:val="0"/>
          <w:numId w:val="0"/>
        </w:numPr>
        <w:kinsoku/>
        <w:wordWrap/>
        <w:overflowPunct/>
        <w:topLinePunct w:val="0"/>
        <w:bidi w:val="0"/>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对于当事人</w:t>
      </w:r>
      <w:r>
        <w:rPr>
          <w:rFonts w:hint="eastAsia" w:ascii="仿宋_GB2312" w:hAnsi="仿宋_GB2312" w:eastAsia="仿宋_GB2312" w:cs="仿宋_GB2312"/>
          <w:color w:val="auto"/>
          <w:sz w:val="32"/>
          <w:szCs w:val="32"/>
          <w:u w:val="none"/>
          <w:lang w:val="en-US" w:eastAsia="zh-CN"/>
        </w:rPr>
        <w:t>未按规定定期检查并及时处理超过使用期限的化妆品</w:t>
      </w:r>
      <w:r>
        <w:rPr>
          <w:rFonts w:hint="eastAsia" w:ascii="仿宋_GB2312" w:hAnsi="仿宋_GB2312" w:eastAsia="仿宋_GB2312" w:cs="仿宋_GB2312"/>
          <w:color w:val="auto"/>
          <w:sz w:val="32"/>
          <w:szCs w:val="32"/>
          <w:lang w:val="en-US" w:eastAsia="zh-CN"/>
        </w:rPr>
        <w:t>的行为，依据《化妆品监督管理条例》第六十二条第一款第四项的规定，</w:t>
      </w:r>
      <w:r>
        <w:rPr>
          <w:rFonts w:hint="eastAsia" w:hAnsi="仿宋_GB2312" w:cs="仿宋_GB2312"/>
          <w:color w:val="auto"/>
          <w:sz w:val="32"/>
          <w:szCs w:val="32"/>
          <w:lang w:val="en-US" w:eastAsia="zh-CN"/>
        </w:rPr>
        <w:t>我局决定</w:t>
      </w:r>
      <w:r>
        <w:rPr>
          <w:rFonts w:hint="eastAsia" w:ascii="仿宋_GB2312" w:hAnsi="仿宋_GB2312" w:eastAsia="仿宋_GB2312" w:cs="仿宋_GB2312"/>
          <w:color w:val="auto"/>
          <w:sz w:val="32"/>
          <w:szCs w:val="32"/>
          <w:lang w:val="en-US" w:eastAsia="zh-CN"/>
        </w:rPr>
        <w:t>责令当事人立即改正该违法行为，给予警告，并处罚款2000元的行政处罚。</w:t>
      </w:r>
    </w:p>
    <w:p w14:paraId="4BC8278D">
      <w:pPr>
        <w:pStyle w:val="2"/>
        <w:keepNext w:val="0"/>
        <w:keepLines w:val="0"/>
        <w:pageBreakBefore w:val="0"/>
        <w:widowControl w:val="0"/>
        <w:numPr>
          <w:ilvl w:val="0"/>
          <w:numId w:val="0"/>
        </w:numPr>
        <w:kinsoku/>
        <w:wordWrap/>
        <w:overflowPunct/>
        <w:topLinePunct w:val="0"/>
        <w:bidi w:val="0"/>
        <w:snapToGrid/>
        <w:spacing w:line="520" w:lineRule="exact"/>
        <w:ind w:right="0" w:rightChars="0"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lang w:val="en-US" w:eastAsia="zh-CN"/>
        </w:rPr>
        <w:t>综上，</w:t>
      </w:r>
      <w:r>
        <w:rPr>
          <w:rFonts w:hint="eastAsia" w:hAnsi="仿宋_GB2312" w:cs="仿宋_GB2312"/>
          <w:color w:val="auto"/>
          <w:sz w:val="32"/>
          <w:szCs w:val="32"/>
          <w:lang w:val="en-US" w:eastAsia="zh-CN"/>
        </w:rPr>
        <w:t>我局决定</w:t>
      </w:r>
      <w:r>
        <w:rPr>
          <w:rFonts w:hint="eastAsia" w:ascii="仿宋_GB2312" w:hAnsi="仿宋_GB2312" w:eastAsia="仿宋_GB2312" w:cs="仿宋_GB2312"/>
          <w:color w:val="auto"/>
          <w:sz w:val="32"/>
          <w:szCs w:val="32"/>
          <w:lang w:val="en-US" w:eastAsia="zh-CN"/>
        </w:rPr>
        <w:t>责令当事人立即改正上述违法行为，并给予以下行政处罚：1.警告；2.罚款4000元。</w:t>
      </w:r>
    </w:p>
    <w:p w14:paraId="610434C1">
      <w:pPr>
        <w:keepNext w:val="0"/>
        <w:keepLines w:val="0"/>
        <w:pageBreakBefore w:val="0"/>
        <w:widowControl w:val="0"/>
        <w:kinsoku/>
        <w:wordWrap/>
        <w:overflowPunct/>
        <w:topLinePunct w:val="0"/>
        <w:autoSpaceDE/>
        <w:autoSpaceDN/>
        <w:bidi w:val="0"/>
        <w:adjustRightInd w:val="0"/>
        <w:snapToGrid/>
        <w:spacing w:line="520" w:lineRule="exact"/>
        <w:ind w:left="-199" w:leftChars="-95" w:right="-105" w:rightChars="-50" w:firstLine="640" w:firstLineChars="200"/>
        <w:textAlignment w:val="baseline"/>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应当自收到本行政处罚决定书之日起十五日内，凭《广西壮族自治区非税收入电子缴款通知书》到中国建设银行缴纳罚款。逾期不缴纳罚款的，依据《中华人民共和国行政处罚法》第七十二条的规定，我局将每日按罚款数额的百分之三加处罚款，并依法申请人民法院强制执行。</w:t>
      </w:r>
    </w:p>
    <w:p w14:paraId="5B4EE84C">
      <w:pPr>
        <w:keepNext w:val="0"/>
        <w:keepLines w:val="0"/>
        <w:pageBreakBefore w:val="0"/>
        <w:widowControl w:val="0"/>
        <w:kinsoku/>
        <w:wordWrap/>
        <w:overflowPunct/>
        <w:topLinePunct w:val="0"/>
        <w:autoSpaceDE/>
        <w:autoSpaceDN/>
        <w:bidi w:val="0"/>
        <w:adjustRightInd w:val="0"/>
        <w:snapToGrid/>
        <w:spacing w:line="520" w:lineRule="exact"/>
        <w:ind w:left="-199" w:leftChars="-95" w:right="-105" w:rightChars="-50" w:firstLine="640" w:firstLineChars="200"/>
        <w:textAlignment w:val="baseline"/>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如不服本行政处罚决定，可在接到本行政处罚决定书之日起六十日内向柳州市柳北区人民政府申请行政复议；也可以在六个月内依法向柳州市柳南区人民法院提起行政诉讼。申请行政复议或者提起行政诉讼期间，行政处罚不停止执行。</w:t>
      </w:r>
    </w:p>
    <w:p w14:paraId="626EDD03">
      <w:pPr>
        <w:keepNext w:val="0"/>
        <w:keepLines w:val="0"/>
        <w:pageBreakBefore w:val="0"/>
        <w:widowControl w:val="0"/>
        <w:kinsoku/>
        <w:wordWrap/>
        <w:overflowPunct/>
        <w:topLinePunct w:val="0"/>
        <w:autoSpaceDE/>
        <w:autoSpaceDN/>
        <w:bidi w:val="0"/>
        <w:adjustRightInd/>
        <w:snapToGrid/>
        <w:spacing w:line="520" w:lineRule="exact"/>
        <w:ind w:right="0" w:rightChars="0" w:firstLine="320" w:firstLineChars="100"/>
        <w:jc w:val="right"/>
        <w:textAlignment w:val="auto"/>
        <w:rPr>
          <w:rFonts w:hint="eastAsia" w:ascii="仿宋_GB2312" w:hAnsi="仿宋_GB2312" w:eastAsia="仿宋_GB2312" w:cs="仿宋_GB2312"/>
          <w:bCs/>
          <w:color w:val="auto"/>
          <w:sz w:val="32"/>
          <w:szCs w:val="32"/>
          <w:u w:val="none"/>
          <w:lang w:val="en-US" w:eastAsia="zh-CN"/>
        </w:rPr>
      </w:pPr>
    </w:p>
    <w:p w14:paraId="0936D2A8">
      <w:pPr>
        <w:pStyle w:val="2"/>
        <w:rPr>
          <w:rFonts w:hint="eastAsia"/>
          <w:color w:val="auto"/>
          <w:lang w:val="en-US" w:eastAsia="zh-CN"/>
        </w:rPr>
      </w:pPr>
    </w:p>
    <w:p w14:paraId="521E8F2A">
      <w:pPr>
        <w:keepNext w:val="0"/>
        <w:keepLines w:val="0"/>
        <w:pageBreakBefore w:val="0"/>
        <w:widowControl w:val="0"/>
        <w:kinsoku/>
        <w:wordWrap/>
        <w:overflowPunct/>
        <w:topLinePunct w:val="0"/>
        <w:autoSpaceDE/>
        <w:autoSpaceDN/>
        <w:bidi w:val="0"/>
        <w:adjustRightInd/>
        <w:snapToGrid/>
        <w:spacing w:line="520" w:lineRule="exact"/>
        <w:ind w:right="0" w:rightChars="0" w:firstLine="320" w:firstLineChars="100"/>
        <w:jc w:val="center"/>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                   柳州市柳北区市场监督管理局</w:t>
      </w:r>
    </w:p>
    <w:p w14:paraId="7464681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u w:val="none"/>
          <w:lang w:val="en-US" w:eastAsia="zh-CN"/>
        </w:rPr>
        <w:t xml:space="preserve">                          2024年11月27日　</w:t>
      </w:r>
    </w:p>
    <w:p w14:paraId="1E66B5F5">
      <w:pPr>
        <w:pStyle w:val="3"/>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rPr>
          <w:rFonts w:hint="eastAsia" w:ascii="黑体" w:hAnsi="黑体" w:eastAsia="黑体" w:cs="黑体"/>
          <w:b w:val="0"/>
          <w:bCs w:val="0"/>
          <w:color w:val="auto"/>
          <w:w w:val="95"/>
          <w:sz w:val="32"/>
          <w:szCs w:val="32"/>
        </w:rPr>
      </w:pPr>
    </w:p>
    <w:p w14:paraId="3557D842">
      <w:pPr>
        <w:pStyle w:val="3"/>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rPr>
          <w:rFonts w:hint="eastAsia" w:ascii="黑体" w:hAnsi="黑体" w:eastAsia="黑体" w:cs="黑体"/>
          <w:b w:val="0"/>
          <w:bCs w:val="0"/>
          <w:color w:val="auto"/>
          <w:w w:val="95"/>
          <w:sz w:val="32"/>
          <w:szCs w:val="32"/>
        </w:rPr>
      </w:pPr>
    </w:p>
    <w:p w14:paraId="74CAF799">
      <w:pPr>
        <w:pStyle w:val="3"/>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rPr>
          <w:rFonts w:hint="eastAsia" w:ascii="黑体" w:hAnsi="黑体" w:eastAsia="黑体" w:cs="黑体"/>
          <w:b w:val="0"/>
          <w:bCs w:val="0"/>
          <w:color w:val="auto"/>
          <w:w w:val="95"/>
          <w:sz w:val="32"/>
          <w:szCs w:val="32"/>
        </w:rPr>
      </w:pPr>
    </w:p>
    <w:p w14:paraId="70BB9630">
      <w:pPr>
        <w:pStyle w:val="3"/>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rPr>
        <w:t xml:space="preserve">（市场监督管理部门将依法向社会公示本行政处罚决定信息） </w:t>
      </w:r>
    </w:p>
    <w:p w14:paraId="078B22D8">
      <w:pPr>
        <w:keepNext w:val="0"/>
        <w:keepLines w:val="0"/>
        <w:pageBreakBefore w:val="0"/>
        <w:widowControl w:val="0"/>
        <w:kinsoku/>
        <w:wordWrap/>
        <w:overflowPunct/>
        <w:topLinePunct w:val="0"/>
        <w:autoSpaceDE/>
        <w:autoSpaceDN/>
        <w:bidi w:val="0"/>
        <w:spacing w:line="520" w:lineRule="exact"/>
        <w:ind w:left="0" w:left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本文书一式三份，一份送达，一份归档，一份办案机构留存。</w:t>
      </w:r>
    </w:p>
    <w:sectPr>
      <w:headerReference r:id="rId3" w:type="default"/>
      <w:footerReference r:id="rId4" w:type="default"/>
      <w:pgSz w:w="11906" w:h="16838"/>
      <w:pgMar w:top="1440" w:right="1463"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9425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EA1B891">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6EA1B891">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A956">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19e7e531-2e1f-4cd0-b744-a2f7fd40aab3"/>
  </w:docVars>
  <w:rsids>
    <w:rsidRoot w:val="148273E2"/>
    <w:rsid w:val="006E7533"/>
    <w:rsid w:val="00771A9E"/>
    <w:rsid w:val="0079623E"/>
    <w:rsid w:val="007F415A"/>
    <w:rsid w:val="008739FF"/>
    <w:rsid w:val="009C3AF3"/>
    <w:rsid w:val="00B91F48"/>
    <w:rsid w:val="00BC4BAE"/>
    <w:rsid w:val="00EA4461"/>
    <w:rsid w:val="01141873"/>
    <w:rsid w:val="02C24393"/>
    <w:rsid w:val="03D65D11"/>
    <w:rsid w:val="062A0A13"/>
    <w:rsid w:val="06F31C51"/>
    <w:rsid w:val="06F651DB"/>
    <w:rsid w:val="07886409"/>
    <w:rsid w:val="081C4913"/>
    <w:rsid w:val="08B1656C"/>
    <w:rsid w:val="08B814DA"/>
    <w:rsid w:val="0AAC240E"/>
    <w:rsid w:val="0C227566"/>
    <w:rsid w:val="0C7B36E9"/>
    <w:rsid w:val="0CDA7707"/>
    <w:rsid w:val="0D3D54C7"/>
    <w:rsid w:val="0D613984"/>
    <w:rsid w:val="0D8B4B78"/>
    <w:rsid w:val="0DBF10BD"/>
    <w:rsid w:val="0DEC6564"/>
    <w:rsid w:val="0EF47C35"/>
    <w:rsid w:val="0F430FD8"/>
    <w:rsid w:val="0F90337F"/>
    <w:rsid w:val="0F997BD9"/>
    <w:rsid w:val="103D3071"/>
    <w:rsid w:val="106C3950"/>
    <w:rsid w:val="107B3617"/>
    <w:rsid w:val="111E4DF7"/>
    <w:rsid w:val="118273C5"/>
    <w:rsid w:val="12657C9B"/>
    <w:rsid w:val="134617C9"/>
    <w:rsid w:val="148273E2"/>
    <w:rsid w:val="15AA17EA"/>
    <w:rsid w:val="16460B44"/>
    <w:rsid w:val="17AC4622"/>
    <w:rsid w:val="18207FC5"/>
    <w:rsid w:val="18FD7766"/>
    <w:rsid w:val="1ACE759C"/>
    <w:rsid w:val="1B59326E"/>
    <w:rsid w:val="1B8A02C6"/>
    <w:rsid w:val="1D147B24"/>
    <w:rsid w:val="1D505927"/>
    <w:rsid w:val="1E18132F"/>
    <w:rsid w:val="1F3603BC"/>
    <w:rsid w:val="1F3E2D68"/>
    <w:rsid w:val="20154E0E"/>
    <w:rsid w:val="203E1472"/>
    <w:rsid w:val="204123F7"/>
    <w:rsid w:val="21D51592"/>
    <w:rsid w:val="223F1EBC"/>
    <w:rsid w:val="22862AD6"/>
    <w:rsid w:val="23E34743"/>
    <w:rsid w:val="26B87CE7"/>
    <w:rsid w:val="26E10C72"/>
    <w:rsid w:val="280D78E7"/>
    <w:rsid w:val="2941559E"/>
    <w:rsid w:val="2A6609A7"/>
    <w:rsid w:val="2B157B4F"/>
    <w:rsid w:val="2B394F9F"/>
    <w:rsid w:val="2B424F07"/>
    <w:rsid w:val="2C1E3393"/>
    <w:rsid w:val="2CF84372"/>
    <w:rsid w:val="2D002F4F"/>
    <w:rsid w:val="2D0325B3"/>
    <w:rsid w:val="2D5E3AFE"/>
    <w:rsid w:val="2D9A265E"/>
    <w:rsid w:val="30351FA2"/>
    <w:rsid w:val="3039642A"/>
    <w:rsid w:val="30780179"/>
    <w:rsid w:val="30E338A2"/>
    <w:rsid w:val="316E2FA4"/>
    <w:rsid w:val="316F6427"/>
    <w:rsid w:val="32863A70"/>
    <w:rsid w:val="34F77FF2"/>
    <w:rsid w:val="35FC3C1B"/>
    <w:rsid w:val="37C6490D"/>
    <w:rsid w:val="38764AB1"/>
    <w:rsid w:val="3897177A"/>
    <w:rsid w:val="389C75D0"/>
    <w:rsid w:val="390D0746"/>
    <w:rsid w:val="39794D00"/>
    <w:rsid w:val="39DC5FBD"/>
    <w:rsid w:val="39E456E5"/>
    <w:rsid w:val="3B64607D"/>
    <w:rsid w:val="3B7D6FA7"/>
    <w:rsid w:val="3D5F713C"/>
    <w:rsid w:val="3E0668BB"/>
    <w:rsid w:val="3E376AA4"/>
    <w:rsid w:val="3F767B2C"/>
    <w:rsid w:val="402B2730"/>
    <w:rsid w:val="41476F80"/>
    <w:rsid w:val="42263B92"/>
    <w:rsid w:val="426B66DC"/>
    <w:rsid w:val="42B76D04"/>
    <w:rsid w:val="45F0522D"/>
    <w:rsid w:val="46053B6D"/>
    <w:rsid w:val="46A20B9C"/>
    <w:rsid w:val="47C502CB"/>
    <w:rsid w:val="49450308"/>
    <w:rsid w:val="4A003601"/>
    <w:rsid w:val="4AC544BB"/>
    <w:rsid w:val="4AC82963"/>
    <w:rsid w:val="4B393527"/>
    <w:rsid w:val="4C190265"/>
    <w:rsid w:val="4D3245B5"/>
    <w:rsid w:val="4DD5222C"/>
    <w:rsid w:val="4E1A0CAF"/>
    <w:rsid w:val="4E2C5DC7"/>
    <w:rsid w:val="4F264677"/>
    <w:rsid w:val="4F5346D7"/>
    <w:rsid w:val="4F7324E1"/>
    <w:rsid w:val="5289310D"/>
    <w:rsid w:val="55232D59"/>
    <w:rsid w:val="55763B22"/>
    <w:rsid w:val="55BA5430"/>
    <w:rsid w:val="5693526F"/>
    <w:rsid w:val="572B1940"/>
    <w:rsid w:val="5A1112D0"/>
    <w:rsid w:val="5A417CAA"/>
    <w:rsid w:val="5A97282E"/>
    <w:rsid w:val="5B0E1573"/>
    <w:rsid w:val="5B6C4B23"/>
    <w:rsid w:val="5C37658C"/>
    <w:rsid w:val="5C777EED"/>
    <w:rsid w:val="5C9D5FDC"/>
    <w:rsid w:val="5CF02E92"/>
    <w:rsid w:val="5D3E7F69"/>
    <w:rsid w:val="5DF27F2D"/>
    <w:rsid w:val="5EFA1226"/>
    <w:rsid w:val="5F432E56"/>
    <w:rsid w:val="5F9F2A6C"/>
    <w:rsid w:val="62FA6ECE"/>
    <w:rsid w:val="63657ABC"/>
    <w:rsid w:val="63667222"/>
    <w:rsid w:val="65A166C8"/>
    <w:rsid w:val="66811B16"/>
    <w:rsid w:val="67261A9A"/>
    <w:rsid w:val="67837EE3"/>
    <w:rsid w:val="678922CE"/>
    <w:rsid w:val="67C219E5"/>
    <w:rsid w:val="6809233A"/>
    <w:rsid w:val="688A1A9D"/>
    <w:rsid w:val="691D477F"/>
    <w:rsid w:val="69886D18"/>
    <w:rsid w:val="6A223CAF"/>
    <w:rsid w:val="6A532A1A"/>
    <w:rsid w:val="6AB3359E"/>
    <w:rsid w:val="6ADC37BF"/>
    <w:rsid w:val="6D170113"/>
    <w:rsid w:val="6D2E262D"/>
    <w:rsid w:val="6E56579E"/>
    <w:rsid w:val="6EB2342B"/>
    <w:rsid w:val="6EEE43BE"/>
    <w:rsid w:val="6F86464C"/>
    <w:rsid w:val="6F930DF1"/>
    <w:rsid w:val="6FF56C55"/>
    <w:rsid w:val="6FF82AC0"/>
    <w:rsid w:val="705931BC"/>
    <w:rsid w:val="7135211F"/>
    <w:rsid w:val="71365A01"/>
    <w:rsid w:val="71D30479"/>
    <w:rsid w:val="72175D9C"/>
    <w:rsid w:val="72A509A5"/>
    <w:rsid w:val="736A6E1A"/>
    <w:rsid w:val="73997733"/>
    <w:rsid w:val="765759F8"/>
    <w:rsid w:val="770967DF"/>
    <w:rsid w:val="790E68AB"/>
    <w:rsid w:val="79965BD7"/>
    <w:rsid w:val="7B263697"/>
    <w:rsid w:val="7B9C2627"/>
    <w:rsid w:val="7C8232CF"/>
    <w:rsid w:val="7CAD2D8F"/>
    <w:rsid w:val="7E1370A0"/>
    <w:rsid w:val="7E3A132E"/>
    <w:rsid w:val="7E635C01"/>
    <w:rsid w:val="7EB85AF2"/>
    <w:rsid w:val="7F2D3532"/>
    <w:rsid w:val="7FFD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29"/>
    <w:qFormat/>
    <w:uiPriority w:val="0"/>
    <w:pPr>
      <w:tabs>
        <w:tab w:val="center" w:pos="4153"/>
        <w:tab w:val="right" w:pos="8306"/>
      </w:tabs>
      <w:snapToGrid w:val="0"/>
      <w:jc w:val="left"/>
    </w:pPr>
    <w:rPr>
      <w:sz w:val="18"/>
      <w:szCs w:val="18"/>
    </w:rPr>
  </w:style>
  <w:style w:type="paragraph" w:styleId="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00"/>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first-child"/>
    <w:basedOn w:val="7"/>
    <w:qFormat/>
    <w:uiPriority w:val="0"/>
  </w:style>
  <w:style w:type="character" w:customStyle="1" w:styleId="17">
    <w:name w:val="layui-layer-tabnow"/>
    <w:basedOn w:val="7"/>
    <w:qFormat/>
    <w:uiPriority w:val="0"/>
    <w:rPr>
      <w:bdr w:val="single" w:color="CCCCCC" w:sz="6" w:space="0"/>
      <w:shd w:val="clear" w:color="auto" w:fill="FFFFFF"/>
    </w:rPr>
  </w:style>
  <w:style w:type="character" w:customStyle="1" w:styleId="18">
    <w:name w:val="x-tab-strip-text"/>
    <w:basedOn w:val="7"/>
    <w:qFormat/>
    <w:uiPriority w:val="0"/>
    <w:rPr>
      <w:color w:val="111111"/>
    </w:rPr>
  </w:style>
  <w:style w:type="character" w:customStyle="1" w:styleId="19">
    <w:name w:val="x-tab-strip-text1"/>
    <w:basedOn w:val="7"/>
    <w:qFormat/>
    <w:uiPriority w:val="0"/>
  </w:style>
  <w:style w:type="character" w:customStyle="1" w:styleId="20">
    <w:name w:val="x-tab-strip-text2"/>
    <w:basedOn w:val="7"/>
    <w:qFormat/>
    <w:uiPriority w:val="0"/>
    <w:rPr>
      <w:rFonts w:hint="eastAsia" w:ascii="宋体" w:hAnsi="宋体" w:eastAsia="宋体" w:cs="宋体"/>
      <w:color w:val="333333"/>
      <w:sz w:val="21"/>
      <w:szCs w:val="21"/>
    </w:rPr>
  </w:style>
  <w:style w:type="character" w:customStyle="1" w:styleId="21">
    <w:name w:val="x-tab-strip-text3"/>
    <w:basedOn w:val="7"/>
    <w:qFormat/>
    <w:uiPriority w:val="0"/>
  </w:style>
  <w:style w:type="character" w:customStyle="1" w:styleId="22">
    <w:name w:val="x-tab-strip-text4"/>
    <w:basedOn w:val="7"/>
    <w:qFormat/>
    <w:uiPriority w:val="0"/>
    <w:rPr>
      <w:b/>
      <w:color w:val="15428B"/>
    </w:rPr>
  </w:style>
  <w:style w:type="character" w:customStyle="1" w:styleId="23">
    <w:name w:val="x-tab-strip-text5"/>
    <w:basedOn w:val="7"/>
    <w:qFormat/>
    <w:uiPriority w:val="0"/>
  </w:style>
  <w:style w:type="character" w:customStyle="1" w:styleId="24">
    <w:name w:val="active1"/>
    <w:basedOn w:val="7"/>
    <w:qFormat/>
    <w:uiPriority w:val="0"/>
    <w:rPr>
      <w:color w:val="00FF00"/>
      <w:shd w:val="clear" w:color="auto" w:fill="000000"/>
    </w:rPr>
  </w:style>
  <w:style w:type="character" w:customStyle="1" w:styleId="25">
    <w:name w:val="hilite6"/>
    <w:basedOn w:val="7"/>
    <w:qFormat/>
    <w:uiPriority w:val="0"/>
    <w:rPr>
      <w:color w:val="FFFFFF"/>
      <w:shd w:val="clear" w:color="auto" w:fill="886666"/>
    </w:rPr>
  </w:style>
  <w:style w:type="character" w:customStyle="1" w:styleId="26">
    <w:name w:val="active7"/>
    <w:basedOn w:val="7"/>
    <w:qFormat/>
    <w:uiPriority w:val="0"/>
    <w:rPr>
      <w:color w:val="00FF00"/>
      <w:shd w:val="clear" w:color="auto" w:fill="000000"/>
    </w:rPr>
  </w:style>
  <w:style w:type="character" w:customStyle="1" w:styleId="27">
    <w:name w:val="hilite5"/>
    <w:basedOn w:val="7"/>
    <w:qFormat/>
    <w:uiPriority w:val="0"/>
    <w:rPr>
      <w:color w:val="FFFFFF"/>
      <w:shd w:val="clear" w:color="auto" w:fill="886666"/>
    </w:rPr>
  </w:style>
  <w:style w:type="character" w:customStyle="1" w:styleId="28">
    <w:name w:val="页眉 Char"/>
    <w:basedOn w:val="7"/>
    <w:link w:val="4"/>
    <w:qFormat/>
    <w:uiPriority w:val="0"/>
    <w:rPr>
      <w:rFonts w:asciiTheme="minorHAnsi" w:hAnsiTheme="minorHAnsi" w:eastAsiaTheme="minorEastAsia" w:cstheme="minorBidi"/>
      <w:kern w:val="2"/>
      <w:sz w:val="18"/>
      <w:szCs w:val="18"/>
    </w:rPr>
  </w:style>
  <w:style w:type="character" w:customStyle="1" w:styleId="2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2227</Words>
  <Characters>2393</Characters>
  <Lines>23</Lines>
  <Paragraphs>6</Paragraphs>
  <TotalTime>6</TotalTime>
  <ScaleCrop>false</ScaleCrop>
  <LinksUpToDate>false</LinksUpToDate>
  <CharactersWithSpaces>2505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2019-06-18T07:59:00Z</dcterms:created>
  <dc:creator>Judy~</dc:creator>
  <cp:lastModifiedBy>河谷镇</cp:lastModifiedBy>
  <cp:lastPrinted>2023-06-09T09:23:00Z</cp:lastPrinted>
  <dcterms:modified xsi:type="dcterms:W3CDTF">2024-12-04T03:52:44Z</dcterms:modified>
  <dc:title>柳州市柳北区市场监督管理局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53C6B06640E84866B39B01FDDC670E47</vt:lpwstr>
  </property>
</Properties>
</file>