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del w:id="1" w:author="Rancho" w:date="2023-12-18T14:13:27Z"/>
          <w:rFonts w:hint="eastAsia" w:ascii="方正小标宋简体" w:hAnsi="方正小标宋简体" w:eastAsia="方正小标宋简体" w:cs="方正小标宋简体"/>
          <w:sz w:val="44"/>
          <w:szCs w:val="44"/>
          <w:lang w:eastAsia="zh-CN"/>
        </w:rPr>
        <w:pPrChange w:id="0" w:author="Rancho" w:date="2023-12-18T14:13:07Z">
          <w:pPr>
            <w:keepNext w:val="0"/>
            <w:keepLines w:val="0"/>
            <w:pageBreakBefore w:val="0"/>
            <w:widowControl w:val="0"/>
            <w:kinsoku/>
            <w:wordWrap/>
            <w:overflowPunct/>
            <w:topLinePunct w:val="0"/>
            <w:autoSpaceDE/>
            <w:autoSpaceDN/>
            <w:bidi w:val="0"/>
            <w:adjustRightInd/>
            <w:snapToGrid/>
            <w:spacing w:line="600" w:lineRule="exact"/>
            <w:jc w:val="center"/>
            <w:textAlignment w:val="auto"/>
          </w:pPr>
        </w:pPrChange>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del w:id="2" w:author="Rancho" w:date="2023-12-18T14:13:27Z"/>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del w:id="3" w:author="Rancho" w:date="2023-12-18T14:13:27Z"/>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del w:id="4" w:author="Rancho" w:date="2023-12-18T14:13:27Z"/>
          <w:rFonts w:hint="eastAsia" w:ascii="方正小标宋简体" w:hAnsi="方正小标宋简体" w:eastAsia="方正小标宋简体" w:cs="方正小标宋简体"/>
          <w:sz w:val="44"/>
          <w:szCs w:val="44"/>
          <w:lang w:eastAsia="zh-CN"/>
        </w:rPr>
      </w:pPr>
    </w:p>
    <w:p>
      <w:pPr>
        <w:spacing w:line="400" w:lineRule="exact"/>
        <w:jc w:val="both"/>
        <w:rPr>
          <w:del w:id="5" w:author="Rancho" w:date="2023-12-18T14:13:27Z"/>
          <w:rFonts w:eastAsia="仿宋"/>
          <w:bCs/>
          <w:color w:val="000000"/>
          <w:sz w:val="32"/>
        </w:rPr>
      </w:pPr>
    </w:p>
    <w:p>
      <w:pPr>
        <w:spacing w:line="400" w:lineRule="exact"/>
        <w:jc w:val="center"/>
        <w:rPr>
          <w:del w:id="6" w:author="Rancho" w:date="2023-12-18T14:13:27Z"/>
          <w:rFonts w:eastAsia="仿宋"/>
          <w:bCs/>
          <w:color w:val="000000"/>
          <w:sz w:val="32"/>
        </w:rPr>
      </w:pPr>
    </w:p>
    <w:p>
      <w:pPr>
        <w:spacing w:line="400" w:lineRule="exact"/>
        <w:jc w:val="center"/>
        <w:rPr>
          <w:del w:id="7" w:author="Rancho" w:date="2023-12-18T14:13:27Z"/>
          <w:rFonts w:hint="eastAsia" w:ascii="方正小标宋简体" w:hAnsi="方正小标宋简体" w:eastAsia="方正小标宋简体" w:cs="方正小标宋简体"/>
          <w:kern w:val="0"/>
          <w:sz w:val="44"/>
          <w:szCs w:val="44"/>
          <w:shd w:val="clear" w:color="auto" w:fill="FFFFFF"/>
          <w:lang w:bidi="ar"/>
        </w:rPr>
      </w:pPr>
      <w:del w:id="8" w:author="Rancho" w:date="2023-12-18T14:13:27Z">
        <w:r>
          <w:rPr>
            <w:rFonts w:eastAsia="仿宋"/>
            <w:bCs/>
            <w:color w:val="000000"/>
            <w:sz w:val="32"/>
          </w:rPr>
          <w:delText>柳</w:delText>
        </w:r>
      </w:del>
      <w:del w:id="9" w:author="Rancho" w:date="2023-12-18T14:13:27Z">
        <w:r>
          <w:rPr>
            <w:rFonts w:hint="eastAsia" w:eastAsia="仿宋"/>
            <w:bCs/>
            <w:color w:val="000000"/>
            <w:sz w:val="32"/>
          </w:rPr>
          <w:delText>北</w:delText>
        </w:r>
      </w:del>
      <w:del w:id="10" w:author="Rancho" w:date="2023-12-18T14:13:27Z">
        <w:r>
          <w:rPr>
            <w:rFonts w:hint="eastAsia" w:eastAsia="仿宋"/>
            <w:bCs/>
            <w:color w:val="000000"/>
            <w:sz w:val="32"/>
            <w:lang w:eastAsia="zh-CN"/>
          </w:rPr>
          <w:delText>政办发</w:delText>
        </w:r>
      </w:del>
      <w:del w:id="11" w:author="Rancho" w:date="2023-12-18T14:13:27Z">
        <w:r>
          <w:rPr>
            <w:rFonts w:eastAsia="仿宋_GB2312"/>
            <w:sz w:val="32"/>
            <w:szCs w:val="32"/>
          </w:rPr>
          <w:delText>〔</w:delText>
        </w:r>
      </w:del>
      <w:del w:id="12" w:author="Rancho" w:date="2023-12-18T14:13:27Z">
        <w:r>
          <w:rPr>
            <w:rFonts w:ascii="Times New Roman" w:hAnsi="Times New Roman" w:eastAsia="仿宋_GB2312" w:cs="Times New Roman"/>
            <w:sz w:val="32"/>
            <w:szCs w:val="32"/>
          </w:rPr>
          <w:delText>20</w:delText>
        </w:r>
      </w:del>
      <w:del w:id="13" w:author="Rancho" w:date="2023-12-18T14:13:27Z">
        <w:r>
          <w:rPr>
            <w:rFonts w:hint="default" w:ascii="Times New Roman" w:hAnsi="Times New Roman" w:eastAsia="仿宋_GB2312" w:cs="Times New Roman"/>
            <w:sz w:val="32"/>
            <w:szCs w:val="32"/>
            <w:lang w:val="en-US" w:eastAsia="zh-CN"/>
          </w:rPr>
          <w:delText>2</w:delText>
        </w:r>
      </w:del>
      <w:del w:id="14" w:author="Rancho" w:date="2023-12-18T14:13:27Z">
        <w:r>
          <w:rPr>
            <w:rFonts w:hint="eastAsia" w:ascii="Times New Roman" w:hAnsi="Times New Roman" w:eastAsia="仿宋_GB2312" w:cs="Times New Roman"/>
            <w:sz w:val="32"/>
            <w:szCs w:val="32"/>
            <w:lang w:val="en-US" w:eastAsia="zh-CN"/>
          </w:rPr>
          <w:delText>3</w:delText>
        </w:r>
      </w:del>
      <w:del w:id="15" w:author="Rancho" w:date="2023-12-18T14:13:27Z">
        <w:r>
          <w:rPr>
            <w:rFonts w:eastAsia="仿宋_GB2312"/>
            <w:sz w:val="32"/>
            <w:szCs w:val="32"/>
          </w:rPr>
          <w:delText>〕</w:delText>
        </w:r>
      </w:del>
      <w:del w:id="16" w:author="Rancho" w:date="2023-12-18T14:13:27Z">
        <w:r>
          <w:rPr>
            <w:rFonts w:hint="default" w:ascii="Times New Roman" w:hAnsi="Times New Roman" w:eastAsia="仿宋_GB2312" w:cs="Times New Roman"/>
            <w:sz w:val="32"/>
            <w:szCs w:val="32"/>
            <w:lang w:val="en-US" w:eastAsia="zh-CN"/>
          </w:rPr>
          <w:delText xml:space="preserve">25 </w:delText>
        </w:r>
      </w:del>
      <w:del w:id="17" w:author="Rancho" w:date="2023-12-18T14:13:27Z">
        <w:r>
          <w:rPr>
            <w:rFonts w:hint="eastAsia" w:eastAsia="仿宋_GB2312"/>
            <w:sz w:val="32"/>
            <w:szCs w:val="32"/>
            <w:lang w:val="en-US" w:eastAsia="zh-CN"/>
          </w:rPr>
          <w:delText xml:space="preserve"> </w:delText>
        </w:r>
      </w:del>
      <w:del w:id="18" w:author="Rancho" w:date="2023-12-18T14:13:27Z">
        <w:r>
          <w:rPr>
            <w:rFonts w:eastAsia="仿宋"/>
            <w:bCs/>
            <w:color w:val="000000"/>
            <w:sz w:val="32"/>
          </w:rPr>
          <w:delText>号</w:delText>
        </w:r>
      </w:del>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del w:id="19" w:author="Rancho" w:date="2023-12-18T14:13:27Z"/>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del w:id="20" w:author="Rancho" w:date="2023-12-18T14:13:27Z"/>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del w:id="21" w:author="Rancho" w:date="2023-12-18T14:13:27Z"/>
          <w:rFonts w:hint="eastAsia" w:ascii="方正小标宋简体" w:hAnsi="方正小标宋简体" w:eastAsia="方正小标宋简体" w:cs="方正小标宋简体"/>
          <w:sz w:val="44"/>
          <w:szCs w:val="44"/>
          <w:lang w:eastAsia="zh-CN"/>
        </w:rPr>
      </w:pPr>
      <w:del w:id="22" w:author="Rancho" w:date="2023-12-18T14:13:27Z">
        <w:r>
          <w:rPr>
            <w:rFonts w:hint="eastAsia" w:ascii="方正小标宋简体" w:hAnsi="方正小标宋简体" w:eastAsia="方正小标宋简体" w:cs="方正小标宋简体"/>
            <w:sz w:val="44"/>
            <w:szCs w:val="44"/>
            <w:lang w:eastAsia="zh-CN"/>
          </w:rPr>
          <w:delText>柳北区人民政府办公室</w:delText>
        </w:r>
      </w:del>
      <w:del w:id="23" w:author="Rancho" w:date="2023-12-18T14:13:27Z">
        <w:r>
          <w:rPr>
            <w:rFonts w:hint="eastAsia" w:ascii="方正小标宋简体" w:hAnsi="方正小标宋简体" w:eastAsia="方正小标宋简体" w:cs="方正小标宋简体"/>
            <w:sz w:val="44"/>
            <w:szCs w:val="44"/>
          </w:rPr>
          <w:delText>关于</w:delText>
        </w:r>
      </w:del>
      <w:del w:id="24" w:author="Rancho" w:date="2023-12-18T14:13:27Z">
        <w:r>
          <w:rPr>
            <w:rFonts w:hint="eastAsia" w:ascii="方正小标宋简体" w:hAnsi="方正小标宋简体" w:eastAsia="方正小标宋简体" w:cs="方正小标宋简体"/>
            <w:sz w:val="44"/>
            <w:szCs w:val="44"/>
            <w:lang w:eastAsia="zh-CN"/>
          </w:rPr>
          <w:delText>印发</w:delText>
        </w:r>
      </w:del>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del w:id="25" w:author="Rancho" w:date="2023-12-18T14:13:27Z"/>
          <w:rFonts w:hint="eastAsia" w:ascii="方正小标宋简体" w:hAnsi="方正小标宋简体" w:eastAsia="方正小标宋简体" w:cs="方正小标宋简体"/>
          <w:sz w:val="44"/>
          <w:szCs w:val="44"/>
        </w:rPr>
      </w:pPr>
      <w:del w:id="26" w:author="Rancho" w:date="2023-12-18T14:13:27Z">
        <w:r>
          <w:rPr>
            <w:rFonts w:hint="eastAsia" w:ascii="方正小标宋简体" w:hAnsi="方正小标宋简体" w:eastAsia="方正小标宋简体" w:cs="方正小标宋简体"/>
            <w:sz w:val="44"/>
            <w:szCs w:val="44"/>
          </w:rPr>
          <w:delText>《</w:delText>
        </w:r>
      </w:del>
      <w:del w:id="27" w:author="Rancho" w:date="2023-12-18T14:13:27Z">
        <w:r>
          <w:rPr>
            <w:rFonts w:hint="eastAsia" w:ascii="方正小标宋简体" w:hAnsi="方正小标宋简体" w:eastAsia="方正小标宋简体" w:cs="方正小标宋简体"/>
            <w:sz w:val="44"/>
            <w:szCs w:val="44"/>
            <w:lang w:val="en-US" w:eastAsia="zh-CN"/>
          </w:rPr>
          <w:delText>2023年</w:delText>
        </w:r>
      </w:del>
      <w:del w:id="28" w:author="Rancho" w:date="2023-12-18T14:13:27Z">
        <w:r>
          <w:rPr>
            <w:rFonts w:hint="eastAsia" w:ascii="方正小标宋简体" w:hAnsi="方正小标宋简体" w:eastAsia="方正小标宋简体" w:cs="方正小标宋简体"/>
            <w:sz w:val="44"/>
            <w:szCs w:val="44"/>
            <w:lang w:eastAsia="zh-CN"/>
          </w:rPr>
          <w:delText>柳北区优化营商环境工作要点》</w:delText>
        </w:r>
      </w:del>
      <w:del w:id="29" w:author="Rancho" w:date="2023-12-18T14:13:27Z">
        <w:r>
          <w:rPr>
            <w:rFonts w:hint="eastAsia" w:ascii="方正小标宋简体" w:hAnsi="方正小标宋简体" w:eastAsia="方正小标宋简体" w:cs="方正小标宋简体"/>
            <w:sz w:val="44"/>
            <w:szCs w:val="44"/>
          </w:rPr>
          <w:delText>的</w:delText>
        </w:r>
      </w:del>
      <w:del w:id="30" w:author="Rancho" w:date="2023-12-18T14:13:27Z">
        <w:r>
          <w:rPr>
            <w:rFonts w:hint="eastAsia" w:ascii="方正小标宋简体" w:hAnsi="方正小标宋简体" w:eastAsia="方正小标宋简体" w:cs="方正小标宋简体"/>
            <w:sz w:val="44"/>
            <w:szCs w:val="44"/>
            <w:lang w:eastAsia="zh-CN"/>
          </w:rPr>
          <w:delText>通</w:delText>
        </w:r>
      </w:del>
      <w:del w:id="31" w:author="Rancho" w:date="2023-12-18T14:13:27Z">
        <w:r>
          <w:rPr>
            <w:rFonts w:hint="eastAsia" w:ascii="方正小标宋简体" w:hAnsi="方正小标宋简体" w:eastAsia="方正小标宋简体" w:cs="方正小标宋简体"/>
            <w:sz w:val="44"/>
            <w:szCs w:val="44"/>
          </w:rPr>
          <w:delText>知</w:delText>
        </w:r>
      </w:del>
    </w:p>
    <w:p>
      <w:pPr>
        <w:keepNext w:val="0"/>
        <w:keepLines w:val="0"/>
        <w:pageBreakBefore w:val="0"/>
        <w:widowControl w:val="0"/>
        <w:kinsoku/>
        <w:wordWrap/>
        <w:overflowPunct/>
        <w:topLinePunct w:val="0"/>
        <w:autoSpaceDE/>
        <w:autoSpaceDN/>
        <w:bidi w:val="0"/>
        <w:adjustRightInd/>
        <w:snapToGrid/>
        <w:spacing w:line="560" w:lineRule="exact"/>
        <w:textAlignment w:val="auto"/>
        <w:rPr>
          <w:del w:id="32" w:author="Rancho" w:date="2023-12-18T14:13:27Z"/>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del w:id="33" w:author="Rancho" w:date="2023-12-18T14:13:27Z"/>
          <w:rFonts w:hint="eastAsia" w:ascii="仿宋_GB2312" w:hAnsi="仿宋_GB2312" w:eastAsia="仿宋_GB2312" w:cs="仿宋_GB2312"/>
          <w:sz w:val="32"/>
          <w:szCs w:val="32"/>
          <w:lang w:eastAsia="zh-CN"/>
        </w:rPr>
      </w:pPr>
      <w:del w:id="34" w:author="Rancho" w:date="2023-12-18T14:13:27Z">
        <w:r>
          <w:rPr>
            <w:rFonts w:hint="eastAsia" w:ascii="仿宋_GB2312" w:hAnsi="仿宋_GB2312" w:eastAsia="仿宋_GB2312" w:cs="仿宋_GB2312"/>
            <w:sz w:val="32"/>
            <w:szCs w:val="32"/>
            <w:lang w:eastAsia="zh-CN"/>
          </w:rPr>
          <w:delText>各有关单位：</w:delText>
        </w:r>
      </w:del>
    </w:p>
    <w:p>
      <w:pPr>
        <w:keepNext w:val="0"/>
        <w:keepLines w:val="0"/>
        <w:pageBreakBefore w:val="0"/>
        <w:widowControl w:val="0"/>
        <w:kinsoku/>
        <w:wordWrap/>
        <w:overflowPunct/>
        <w:topLinePunct w:val="0"/>
        <w:autoSpaceDE/>
        <w:autoSpaceDN/>
        <w:bidi w:val="0"/>
        <w:adjustRightInd/>
        <w:snapToGrid/>
        <w:spacing w:line="600" w:lineRule="exact"/>
        <w:textAlignment w:val="auto"/>
        <w:rPr>
          <w:del w:id="35" w:author="Rancho" w:date="2023-12-18T14:13:27Z"/>
          <w:rFonts w:hint="eastAsia" w:ascii="仿宋_GB2312" w:hAnsi="仿宋_GB2312" w:eastAsia="仿宋_GB2312" w:cs="仿宋_GB2312"/>
          <w:sz w:val="32"/>
          <w:szCs w:val="32"/>
          <w:lang w:val="en-US" w:eastAsia="zh-CN"/>
        </w:rPr>
      </w:pPr>
      <w:del w:id="36" w:author="Rancho" w:date="2023-12-18T14:13:27Z">
        <w:r>
          <w:rPr>
            <w:rFonts w:hint="eastAsia" w:ascii="仿宋_GB2312" w:hAnsi="仿宋_GB2312" w:eastAsia="仿宋_GB2312" w:cs="仿宋_GB2312"/>
            <w:sz w:val="32"/>
            <w:szCs w:val="32"/>
            <w:lang w:val="en-US" w:eastAsia="zh-CN"/>
          </w:rPr>
          <w:delText xml:space="preserve">    </w:delText>
        </w:r>
      </w:del>
      <w:del w:id="37" w:author="Rancho" w:date="2023-12-18T14:13:27Z">
        <w:r>
          <w:rPr>
            <w:rFonts w:hint="eastAsia" w:ascii="仿宋_GB2312" w:hAnsi="仿宋_GB2312" w:eastAsia="仿宋_GB2312" w:cs="仿宋_GB2312"/>
            <w:sz w:val="32"/>
            <w:szCs w:val="32"/>
            <w:lang w:eastAsia="zh-CN"/>
          </w:rPr>
          <w:delText>《2023年柳北区优化营商环境工作要点》</w:delText>
        </w:r>
      </w:del>
      <w:del w:id="38" w:author="Rancho" w:date="2023-12-18T14:13:27Z">
        <w:r>
          <w:rPr>
            <w:rFonts w:hint="eastAsia" w:ascii="仿宋_GB2312" w:hAnsi="仿宋_GB2312" w:eastAsia="仿宋_GB2312" w:cs="仿宋_GB2312"/>
            <w:sz w:val="32"/>
            <w:szCs w:val="32"/>
            <w:lang w:val="en-US" w:eastAsia="zh-CN"/>
          </w:rPr>
          <w:delText>已经区政府同意，现印发给你们，请认真组织实施。</w:delText>
        </w:r>
      </w:del>
    </w:p>
    <w:p>
      <w:pPr>
        <w:keepNext w:val="0"/>
        <w:keepLines w:val="0"/>
        <w:pageBreakBefore w:val="0"/>
        <w:widowControl w:val="0"/>
        <w:kinsoku/>
        <w:wordWrap/>
        <w:overflowPunct/>
        <w:topLinePunct w:val="0"/>
        <w:autoSpaceDE/>
        <w:autoSpaceDN/>
        <w:bidi w:val="0"/>
        <w:adjustRightInd/>
        <w:snapToGrid/>
        <w:spacing w:line="600" w:lineRule="exact"/>
        <w:ind w:firstLine="420"/>
        <w:textAlignment w:val="auto"/>
        <w:rPr>
          <w:del w:id="39" w:author="Rancho" w:date="2023-12-18T14:13:27Z"/>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420"/>
        <w:textAlignment w:val="auto"/>
        <w:rPr>
          <w:del w:id="40" w:author="Rancho" w:date="2023-12-18T14:13:27Z"/>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5438" w:leftChars="304" w:hanging="4800" w:hangingChars="1500"/>
        <w:textAlignment w:val="auto"/>
        <w:rPr>
          <w:del w:id="41" w:author="Rancho" w:date="2023-12-18T14:13:27Z"/>
          <w:rFonts w:hint="eastAsia" w:ascii="仿宋_GB2312" w:hAnsi="仿宋_GB2312" w:eastAsia="仿宋_GB2312" w:cs="仿宋_GB2312"/>
          <w:sz w:val="32"/>
          <w:szCs w:val="32"/>
          <w:lang w:val="en-US" w:eastAsia="zh-CN"/>
        </w:rPr>
      </w:pPr>
      <w:del w:id="42" w:author="Rancho" w:date="2023-12-18T14:13:27Z">
        <w:r>
          <w:rPr>
            <w:rFonts w:hint="eastAsia" w:ascii="仿宋_GB2312" w:hAnsi="仿宋_GB2312" w:eastAsia="仿宋_GB2312" w:cs="仿宋_GB2312"/>
            <w:sz w:val="32"/>
            <w:szCs w:val="32"/>
            <w:lang w:val="en-US" w:eastAsia="zh-CN"/>
          </w:rPr>
          <w:delText xml:space="preserve">                       柳北区人民政府办公室</w:delText>
        </w:r>
      </w:del>
    </w:p>
    <w:p>
      <w:pPr>
        <w:keepNext w:val="0"/>
        <w:keepLines w:val="0"/>
        <w:pageBreakBefore w:val="0"/>
        <w:widowControl w:val="0"/>
        <w:kinsoku/>
        <w:wordWrap/>
        <w:overflowPunct/>
        <w:topLinePunct w:val="0"/>
        <w:autoSpaceDE/>
        <w:autoSpaceDN/>
        <w:bidi w:val="0"/>
        <w:adjustRightInd/>
        <w:snapToGrid/>
        <w:spacing w:line="600" w:lineRule="exact"/>
        <w:ind w:left="5428" w:leftChars="2280" w:hanging="640" w:hangingChars="200"/>
        <w:textAlignment w:val="auto"/>
        <w:rPr>
          <w:del w:id="43" w:author="Rancho" w:date="2023-12-18T14:13:27Z"/>
          <w:rFonts w:hint="default" w:ascii="Times New Roman" w:hAnsi="Times New Roman" w:eastAsia="仿宋_GB2312" w:cs="Times New Roman"/>
          <w:sz w:val="32"/>
          <w:szCs w:val="32"/>
          <w:lang w:val="en-US" w:eastAsia="zh-CN"/>
        </w:rPr>
      </w:pPr>
      <w:del w:id="44" w:author="Rancho" w:date="2023-12-18T14:13:27Z">
        <w:r>
          <w:rPr>
            <w:rFonts w:hint="default" w:ascii="Times New Roman" w:hAnsi="Times New Roman" w:eastAsia="仿宋_GB2312" w:cs="Times New Roman"/>
            <w:sz w:val="32"/>
            <w:szCs w:val="32"/>
            <w:lang w:val="en-US" w:eastAsia="zh-CN"/>
          </w:rPr>
          <w:delText>2023</w:delText>
        </w:r>
      </w:del>
      <w:del w:id="45" w:author="Rancho" w:date="2023-12-18T14:13:27Z">
        <w:r>
          <w:rPr>
            <w:rFonts w:hint="eastAsia" w:ascii="仿宋_GB2312" w:hAnsi="仿宋_GB2312" w:eastAsia="仿宋_GB2312" w:cs="仿宋_GB2312"/>
            <w:sz w:val="32"/>
            <w:szCs w:val="32"/>
            <w:lang w:val="en-US" w:eastAsia="zh-CN"/>
          </w:rPr>
          <w:delText>年</w:delText>
        </w:r>
      </w:del>
      <w:del w:id="46" w:author="Rancho" w:date="2023-12-18T14:13:27Z">
        <w:r>
          <w:rPr>
            <w:rFonts w:hint="default" w:ascii="Times New Roman" w:hAnsi="Times New Roman" w:eastAsia="仿宋_GB2312" w:cs="Times New Roman"/>
            <w:sz w:val="32"/>
            <w:szCs w:val="32"/>
            <w:lang w:val="en-US" w:eastAsia="zh-CN"/>
          </w:rPr>
          <w:delText>11</w:delText>
        </w:r>
      </w:del>
      <w:del w:id="47" w:author="Rancho" w:date="2023-12-18T14:13:27Z">
        <w:r>
          <w:rPr>
            <w:rFonts w:hint="eastAsia" w:ascii="仿宋_GB2312" w:hAnsi="仿宋_GB2312" w:eastAsia="仿宋_GB2312" w:cs="仿宋_GB2312"/>
            <w:sz w:val="32"/>
            <w:szCs w:val="32"/>
            <w:lang w:val="en-US" w:eastAsia="zh-CN"/>
          </w:rPr>
          <w:delText>月</w:delText>
        </w:r>
      </w:del>
      <w:del w:id="48" w:author="Rancho" w:date="2023-12-18T14:13:27Z">
        <w:r>
          <w:rPr>
            <w:rFonts w:hint="default" w:ascii="Times New Roman" w:hAnsi="Times New Roman" w:eastAsia="仿宋_GB2312" w:cs="Times New Roman"/>
            <w:sz w:val="32"/>
            <w:szCs w:val="32"/>
            <w:lang w:val="en-US" w:eastAsia="zh-CN"/>
          </w:rPr>
          <w:delText>16</w:delText>
        </w:r>
      </w:del>
      <w:del w:id="49" w:author="Rancho" w:date="2023-12-18T14:13:27Z">
        <w:r>
          <w:rPr>
            <w:rFonts w:hint="eastAsia" w:ascii="仿宋_GB2312" w:hAnsi="仿宋_GB2312" w:eastAsia="仿宋_GB2312" w:cs="仿宋_GB2312"/>
            <w:sz w:val="32"/>
            <w:szCs w:val="32"/>
            <w:lang w:val="en-US" w:eastAsia="zh-CN"/>
          </w:rPr>
          <w:delText xml:space="preserve">日   </w:delText>
        </w:r>
      </w:del>
      <w:del w:id="50" w:author="Rancho" w:date="2023-12-18T14:13:27Z">
        <w:r>
          <w:rPr>
            <w:rFonts w:hint="default" w:ascii="Times New Roman" w:hAnsi="Times New Roman" w:eastAsia="仿宋_GB2312" w:cs="Times New Roman"/>
            <w:sz w:val="32"/>
            <w:szCs w:val="32"/>
            <w:lang w:val="en-US" w:eastAsia="zh-CN"/>
          </w:rPr>
          <w:delText xml:space="preserve">       </w:delText>
        </w:r>
      </w:del>
    </w:p>
    <w:p>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5668" w:leftChars="2280" w:hanging="880" w:hangingChars="200"/>
        <w:jc w:val="left"/>
        <w:textAlignment w:val="auto"/>
        <w:rPr>
          <w:del w:id="52" w:author="Rancho" w:date="2023-12-18T14:13:27Z"/>
          <w:rFonts w:hint="eastAsia" w:ascii="方正小标宋简体" w:hAnsi="方正小标宋简体" w:eastAsia="方正小标宋简体" w:cs="方正小标宋简体"/>
          <w:color w:val="auto"/>
          <w:kern w:val="21"/>
          <w:sz w:val="44"/>
          <w:szCs w:val="44"/>
          <w:shd w:val="clear" w:color="auto" w:fill="FFFFFF"/>
          <w:lang w:val="en-US" w:eastAsia="zh-CN"/>
        </w:rPr>
        <w:sectPr>
          <w:footerReference r:id="rId7" w:type="first"/>
          <w:headerReference r:id="rId5" w:type="default"/>
          <w:footerReference r:id="rId6" w:type="default"/>
          <w:pgSz w:w="11906" w:h="16838"/>
          <w:pgMar w:top="2098" w:right="1247" w:bottom="2098" w:left="1247" w:header="851" w:footer="992" w:gutter="0"/>
          <w:pgNumType w:fmt="numberInDash"/>
          <w:cols w:space="0" w:num="1"/>
          <w:rtlGutter w:val="0"/>
          <w:docGrid w:type="lines" w:linePitch="312" w:charSpace="0"/>
        </w:sectPr>
        <w:pPrChange w:id="51" w:author="Rancho" w:date="2023-12-18T14:13:05Z">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pPr>
        </w:pPrChange>
      </w:pPr>
    </w:p>
    <w:p>
      <w:pPr>
        <w:keepNext w:val="0"/>
        <w:keepLines w:val="0"/>
        <w:pageBreakBefore w:val="0"/>
        <w:widowControl w:val="0"/>
        <w:kinsoku/>
        <w:wordWrap/>
        <w:overflowPunct/>
        <w:topLinePunct w:val="0"/>
        <w:autoSpaceDE/>
        <w:autoSpaceDN/>
        <w:bidi w:val="0"/>
        <w:adjustRightInd/>
        <w:snapToGrid/>
        <w:spacing w:line="600" w:lineRule="exact"/>
        <w:ind w:left="5668" w:leftChars="2280" w:hanging="880" w:hangingChars="200"/>
        <w:jc w:val="left"/>
        <w:textAlignment w:val="auto"/>
        <w:outlineLvl w:val="9"/>
        <w:rPr>
          <w:del w:id="54" w:author="Rancho" w:date="2023-12-18T14:13:27Z"/>
          <w:rFonts w:hint="eastAsia" w:ascii="方正小标宋简体" w:hAnsi="方正小标宋简体" w:eastAsia="方正小标宋简体" w:cs="方正小标宋简体"/>
          <w:sz w:val="44"/>
          <w:szCs w:val="44"/>
        </w:rPr>
        <w:pPrChange w:id="53" w:author="Rancho" w:date="2023-12-18T14:13:05Z">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pPr>
        </w:pPrChange>
      </w:pPr>
      <w:del w:id="55" w:author="Rancho" w:date="2023-12-18T14:13:27Z">
        <w:r>
          <w:rPr>
            <w:rFonts w:hint="eastAsia" w:ascii="方正小标宋简体" w:hAnsi="方正小标宋简体" w:eastAsia="方正小标宋简体" w:cs="方正小标宋简体"/>
            <w:sz w:val="44"/>
            <w:szCs w:val="44"/>
          </w:rPr>
          <w:delText>2023年柳北区优化营商环境工作要点</w:delText>
        </w:r>
      </w:del>
    </w:p>
    <w:p>
      <w:pPr>
        <w:keepNext w:val="0"/>
        <w:keepLines w:val="0"/>
        <w:pageBreakBefore w:val="0"/>
        <w:widowControl w:val="0"/>
        <w:kinsoku/>
        <w:wordWrap/>
        <w:overflowPunct/>
        <w:topLinePunct w:val="0"/>
        <w:autoSpaceDE/>
        <w:autoSpaceDN/>
        <w:bidi w:val="0"/>
        <w:adjustRightInd/>
        <w:snapToGrid/>
        <w:spacing w:line="600" w:lineRule="exact"/>
        <w:ind w:left="5668" w:leftChars="2280" w:hanging="880" w:hangingChars="200"/>
        <w:jc w:val="left"/>
        <w:textAlignment w:val="auto"/>
        <w:outlineLvl w:val="9"/>
        <w:rPr>
          <w:del w:id="57" w:author="Rancho" w:date="2023-12-18T14:13:27Z"/>
          <w:rFonts w:hint="eastAsia" w:ascii="方正小标宋简体" w:hAnsi="方正小标宋简体" w:eastAsia="方正小标宋简体" w:cs="方正小标宋简体"/>
          <w:sz w:val="44"/>
          <w:szCs w:val="44"/>
          <w:lang w:eastAsia="zh-CN"/>
        </w:rPr>
        <w:pPrChange w:id="56" w:author="Rancho" w:date="2023-12-18T14:13:05Z">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pPr>
        </w:pPrChange>
      </w:pPr>
    </w:p>
    <w:p>
      <w:pPr>
        <w:keepNext w:val="0"/>
        <w:keepLines w:val="0"/>
        <w:pageBreakBefore w:val="0"/>
        <w:widowControl w:val="0"/>
        <w:kinsoku/>
        <w:wordWrap/>
        <w:overflowPunct/>
        <w:topLinePunct w:val="0"/>
        <w:autoSpaceDE/>
        <w:autoSpaceDN/>
        <w:bidi w:val="0"/>
        <w:adjustRightInd/>
        <w:snapToGrid/>
        <w:spacing w:line="600" w:lineRule="exact"/>
        <w:ind w:left="5428" w:leftChars="2280" w:hanging="640" w:hangingChars="200"/>
        <w:textAlignment w:val="auto"/>
        <w:outlineLvl w:val="9"/>
        <w:rPr>
          <w:del w:id="59" w:author="Rancho" w:date="2023-12-18T14:13:27Z"/>
          <w:rFonts w:hint="eastAsia" w:ascii="仿宋_GB2312" w:hAnsi="仿宋_GB2312" w:eastAsia="仿宋_GB2312" w:cs="仿宋_GB2312"/>
          <w:sz w:val="32"/>
          <w:szCs w:val="32"/>
        </w:rPr>
        <w:pPrChange w:id="58" w:author="Rancho" w:date="2023-12-18T14:12:56Z">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pPr>
        </w:pPrChange>
      </w:pPr>
      <w:del w:id="60" w:author="Rancho" w:date="2023-12-18T14:13:27Z">
        <w:r>
          <w:rPr>
            <w:rFonts w:hint="eastAsia" w:ascii="仿宋_GB2312" w:hAnsi="仿宋_GB2312" w:eastAsia="仿宋_GB2312" w:cs="仿宋_GB2312"/>
            <w:sz w:val="32"/>
            <w:szCs w:val="32"/>
          </w:rPr>
          <w:delText>为深入贯彻落实党中央、国务院及自治区党委、政府</w:delText>
        </w:r>
      </w:del>
      <w:del w:id="61" w:author="Rancho" w:date="2023-12-18T14:13:27Z">
        <w:r>
          <w:rPr>
            <w:rFonts w:hint="eastAsia" w:ascii="仿宋_GB2312" w:hAnsi="仿宋_GB2312" w:eastAsia="仿宋_GB2312" w:cs="仿宋_GB2312"/>
            <w:sz w:val="32"/>
            <w:szCs w:val="32"/>
            <w:lang w:eastAsia="zh-CN"/>
          </w:rPr>
          <w:delText>，柳州市党委、政府</w:delText>
        </w:r>
      </w:del>
      <w:del w:id="62" w:author="Rancho" w:date="2023-12-18T14:13:27Z">
        <w:r>
          <w:rPr>
            <w:rFonts w:hint="eastAsia" w:ascii="仿宋_GB2312" w:hAnsi="仿宋_GB2312" w:eastAsia="仿宋_GB2312" w:cs="仿宋_GB2312"/>
            <w:sz w:val="32"/>
            <w:szCs w:val="32"/>
          </w:rPr>
          <w:delText>关于优化营商环境工作部署，持续对标先进打造市场化法治化国际化营商环境，壮大实体经济推动高质量发展，结合我区实际，特制定本工作要点。</w:delText>
        </w:r>
      </w:del>
    </w:p>
    <w:p>
      <w:pPr>
        <w:keepNext w:val="0"/>
        <w:keepLines w:val="0"/>
        <w:pageBreakBefore w:val="0"/>
        <w:widowControl w:val="0"/>
        <w:kinsoku/>
        <w:wordWrap/>
        <w:overflowPunct/>
        <w:topLinePunct w:val="0"/>
        <w:autoSpaceDE/>
        <w:autoSpaceDN/>
        <w:bidi w:val="0"/>
        <w:adjustRightInd/>
        <w:snapToGrid/>
        <w:spacing w:line="600" w:lineRule="exact"/>
        <w:ind w:left="5428" w:leftChars="2280" w:hanging="640" w:hangingChars="200"/>
        <w:textAlignment w:val="auto"/>
        <w:outlineLvl w:val="9"/>
        <w:rPr>
          <w:del w:id="64" w:author="Rancho" w:date="2023-12-18T14:13:27Z"/>
          <w:rFonts w:hint="eastAsia" w:ascii="仿宋_GB2312" w:hAnsi="仿宋_GB2312" w:eastAsia="仿宋_GB2312" w:cs="仿宋_GB2312"/>
          <w:sz w:val="32"/>
          <w:szCs w:val="32"/>
        </w:rPr>
        <w:pPrChange w:id="63" w:author="Rancho" w:date="2023-12-18T14:12:56Z">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pPr>
        </w:pPrChange>
      </w:pPr>
      <w:del w:id="65" w:author="Rancho" w:date="2023-12-18T14:13:27Z">
        <w:r>
          <w:rPr>
            <w:rFonts w:hint="eastAsia" w:ascii="黑体" w:hAnsi="黑体" w:eastAsia="黑体" w:cs="黑体"/>
            <w:sz w:val="32"/>
            <w:szCs w:val="32"/>
          </w:rPr>
          <w:delText>一、聚焦重点领域改革，营造优质有序的市场环境</w:delText>
        </w:r>
      </w:del>
    </w:p>
    <w:p>
      <w:pPr>
        <w:keepNext w:val="0"/>
        <w:keepLines w:val="0"/>
        <w:pageBreakBefore w:val="0"/>
        <w:widowControl w:val="0"/>
        <w:kinsoku/>
        <w:wordWrap/>
        <w:overflowPunct/>
        <w:topLinePunct w:val="0"/>
        <w:autoSpaceDE/>
        <w:autoSpaceDN/>
        <w:bidi w:val="0"/>
        <w:adjustRightInd/>
        <w:snapToGrid/>
        <w:spacing w:line="600" w:lineRule="exact"/>
        <w:ind w:left="5431" w:leftChars="2280" w:hanging="643" w:hangingChars="200"/>
        <w:textAlignment w:val="auto"/>
        <w:outlineLvl w:val="9"/>
        <w:rPr>
          <w:del w:id="67" w:author="Rancho" w:date="2023-12-18T14:13:27Z"/>
          <w:rFonts w:hint="eastAsia" w:ascii="楷体_GB2312" w:hAnsi="楷体_GB2312" w:eastAsia="楷体_GB2312" w:cs="楷体_GB2312"/>
          <w:sz w:val="32"/>
          <w:szCs w:val="32"/>
        </w:rPr>
        <w:pPrChange w:id="66" w:author="Rancho" w:date="2023-12-18T14:12:56Z">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pPr>
        </w:pPrChange>
      </w:pPr>
      <w:del w:id="68" w:author="Rancho" w:date="2023-12-18T14:13:27Z">
        <w:r>
          <w:rPr>
            <w:rFonts w:hint="eastAsia" w:ascii="仿宋_GB2312" w:hAnsi="仿宋_GB2312" w:eastAsia="仿宋_GB2312" w:cs="仿宋_GB2312"/>
            <w:b/>
            <w:bCs/>
            <w:sz w:val="32"/>
            <w:szCs w:val="32"/>
          </w:rPr>
          <w:delText>（一）市场准入退出。</w:delText>
        </w:r>
      </w:del>
      <w:del w:id="69" w:author="Rancho" w:date="2023-12-18T14:13:27Z">
        <w:r>
          <w:rPr>
            <w:rFonts w:hint="eastAsia" w:ascii="仿宋_GB2312" w:hAnsi="仿宋_GB2312" w:eastAsia="仿宋_GB2312" w:cs="仿宋_GB2312"/>
            <w:sz w:val="32"/>
            <w:szCs w:val="32"/>
          </w:rPr>
          <w:delText>健全市场主体准入机制，进一步便利企业开立银行账户，提高商业银行对电子营业执照的认可度，提高企业开户效率。深化企业住所与经营场所标准化登记，探索复制推行企业服务码试点范围，实行“一照多址、一市一照”。推行市场监管领域准入一体化登记，实现“企业登记注册”等更多高频事项“一件事一次办”，探索变更登记“一键通”改革。全面提升市场主体准入便利化水平，全年全区新登记企业全程网上办理率力争达到95%。落实歇业备案制度配套措施，完善市场主体退出机制。全面实施市场准入负面清单制度，严格落实“全国一张清单”管理模式。</w:delText>
        </w:r>
      </w:del>
      <w:del w:id="70" w:author="Rancho" w:date="2023-12-18T14:13:27Z">
        <w:r>
          <w:rPr>
            <w:rFonts w:hint="eastAsia" w:ascii="楷体_GB2312" w:hAnsi="楷体_GB2312" w:eastAsia="楷体_GB2312" w:cs="楷体_GB2312"/>
            <w:sz w:val="32"/>
            <w:szCs w:val="32"/>
          </w:rPr>
          <w:delText>〔牵头单位：区市场监管局；配合单位：区</w:delText>
        </w:r>
      </w:del>
      <w:del w:id="71" w:author="Rancho" w:date="2023-12-18T14:13:27Z">
        <w:r>
          <w:rPr>
            <w:rFonts w:hint="eastAsia" w:ascii="楷体_GB2312" w:hAnsi="楷体_GB2312" w:eastAsia="楷体_GB2312" w:cs="楷体_GB2312"/>
            <w:sz w:val="32"/>
            <w:szCs w:val="32"/>
            <w:lang w:eastAsia="zh-CN"/>
          </w:rPr>
          <w:delText>发改局</w:delText>
        </w:r>
      </w:del>
      <w:del w:id="72" w:author="Rancho" w:date="2023-12-18T14:13:27Z">
        <w:r>
          <w:rPr>
            <w:rFonts w:hint="eastAsia" w:ascii="楷体_GB2312" w:hAnsi="楷体_GB2312" w:eastAsia="楷体_GB2312" w:cs="楷体_GB2312"/>
            <w:sz w:val="32"/>
            <w:szCs w:val="32"/>
          </w:rPr>
          <w:delText>、民政局、</w:delText>
        </w:r>
      </w:del>
      <w:del w:id="73" w:author="Rancho" w:date="2023-12-18T14:13:27Z">
        <w:r>
          <w:rPr>
            <w:rFonts w:hint="eastAsia" w:ascii="楷体_GB2312" w:hAnsi="楷体_GB2312" w:eastAsia="楷体_GB2312" w:cs="楷体_GB2312"/>
            <w:sz w:val="32"/>
            <w:szCs w:val="32"/>
            <w:lang w:eastAsia="zh-CN"/>
          </w:rPr>
          <w:delText>人社局</w:delText>
        </w:r>
      </w:del>
      <w:del w:id="74" w:author="Rancho" w:date="2023-12-18T14:13:27Z">
        <w:r>
          <w:rPr>
            <w:rFonts w:hint="eastAsia" w:ascii="楷体_GB2312" w:hAnsi="楷体_GB2312" w:eastAsia="楷体_GB2312" w:cs="楷体_GB2312"/>
            <w:sz w:val="32"/>
            <w:szCs w:val="32"/>
          </w:rPr>
          <w:delText>、</w:delText>
        </w:r>
      </w:del>
      <w:del w:id="75" w:author="Rancho" w:date="2023-12-18T14:13:27Z">
        <w:r>
          <w:rPr>
            <w:rFonts w:hint="eastAsia" w:ascii="楷体_GB2312" w:hAnsi="楷体_GB2312" w:eastAsia="楷体_GB2312" w:cs="楷体_GB2312"/>
            <w:sz w:val="32"/>
            <w:szCs w:val="32"/>
            <w:lang w:eastAsia="zh-CN"/>
          </w:rPr>
          <w:delText>自然资源局</w:delText>
        </w:r>
      </w:del>
      <w:del w:id="76" w:author="Rancho" w:date="2023-12-18T14:13:27Z">
        <w:r>
          <w:rPr>
            <w:rFonts w:hint="eastAsia" w:ascii="楷体_GB2312" w:hAnsi="楷体_GB2312" w:eastAsia="楷体_GB2312" w:cs="楷体_GB2312"/>
            <w:sz w:val="32"/>
            <w:szCs w:val="32"/>
          </w:rPr>
          <w:delText>、</w:delText>
        </w:r>
      </w:del>
      <w:del w:id="77" w:author="Rancho" w:date="2023-12-18T14:13:27Z">
        <w:r>
          <w:rPr>
            <w:rFonts w:hint="eastAsia" w:ascii="楷体_GB2312" w:hAnsi="楷体_GB2312" w:eastAsia="楷体_GB2312" w:cs="楷体_GB2312"/>
            <w:sz w:val="32"/>
            <w:szCs w:val="32"/>
            <w:lang w:eastAsia="zh-CN"/>
          </w:rPr>
          <w:delText>住建局</w:delText>
        </w:r>
      </w:del>
      <w:del w:id="78" w:author="Rancho" w:date="2023-12-18T14:13:27Z">
        <w:r>
          <w:rPr>
            <w:rFonts w:hint="eastAsia" w:ascii="楷体_GB2312" w:hAnsi="楷体_GB2312" w:eastAsia="楷体_GB2312" w:cs="楷体_GB2312"/>
            <w:sz w:val="32"/>
            <w:szCs w:val="32"/>
          </w:rPr>
          <w:delText>、政管办，市公安局柳北分局</w:delText>
        </w:r>
      </w:del>
      <w:del w:id="79" w:author="Rancho" w:date="2023-12-18T14:13:27Z">
        <w:r>
          <w:rPr>
            <w:rFonts w:hint="eastAsia" w:ascii="楷体_GB2312" w:hAnsi="楷体_GB2312" w:eastAsia="楷体_GB2312" w:cs="楷体_GB2312"/>
            <w:sz w:val="32"/>
            <w:szCs w:val="32"/>
            <w:lang w:eastAsia="zh-CN"/>
          </w:rPr>
          <w:delText>，柳北税务局</w:delText>
        </w:r>
      </w:del>
      <w:del w:id="80" w:author="Rancho" w:date="2023-12-18T14:13:27Z">
        <w:r>
          <w:rPr>
            <w:rFonts w:hint="eastAsia" w:ascii="楷体_GB2312" w:hAnsi="楷体_GB2312" w:eastAsia="楷体_GB2312" w:cs="楷体_GB2312"/>
            <w:sz w:val="32"/>
            <w:szCs w:val="32"/>
          </w:rPr>
          <w:delText>〕</w:delText>
        </w:r>
      </w:del>
    </w:p>
    <w:p>
      <w:pPr>
        <w:keepNext w:val="0"/>
        <w:keepLines w:val="0"/>
        <w:pageBreakBefore w:val="0"/>
        <w:widowControl w:val="0"/>
        <w:kinsoku/>
        <w:wordWrap/>
        <w:overflowPunct/>
        <w:topLinePunct w:val="0"/>
        <w:autoSpaceDE/>
        <w:autoSpaceDN/>
        <w:bidi w:val="0"/>
        <w:adjustRightInd/>
        <w:snapToGrid/>
        <w:spacing w:line="600" w:lineRule="exact"/>
        <w:ind w:left="5431" w:leftChars="2280" w:hanging="643" w:hangingChars="200"/>
        <w:textAlignment w:val="auto"/>
        <w:outlineLvl w:val="9"/>
        <w:rPr>
          <w:del w:id="82" w:author="Rancho" w:date="2023-12-18T14:13:27Z"/>
          <w:rFonts w:hint="eastAsia" w:ascii="仿宋_GB2312" w:hAnsi="仿宋_GB2312" w:eastAsia="仿宋_GB2312" w:cs="仿宋_GB2312"/>
          <w:sz w:val="32"/>
          <w:szCs w:val="32"/>
        </w:rPr>
        <w:pPrChange w:id="81" w:author="Rancho" w:date="2023-12-18T14:12:56Z">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pPr>
        </w:pPrChange>
      </w:pPr>
      <w:del w:id="83" w:author="Rancho" w:date="2023-12-18T14:13:27Z">
        <w:r>
          <w:rPr>
            <w:rFonts w:hint="eastAsia" w:ascii="仿宋_GB2312" w:hAnsi="仿宋_GB2312" w:eastAsia="仿宋_GB2312" w:cs="仿宋_GB2312"/>
            <w:b/>
            <w:bCs/>
            <w:sz w:val="32"/>
            <w:szCs w:val="32"/>
          </w:rPr>
          <w:delText>（二）办理建筑许可。</w:delText>
        </w:r>
      </w:del>
      <w:del w:id="84" w:author="Rancho" w:date="2023-12-18T14:13:27Z">
        <w:r>
          <w:rPr>
            <w:rFonts w:hint="eastAsia" w:ascii="仿宋_GB2312" w:hAnsi="仿宋_GB2312" w:eastAsia="仿宋_GB2312" w:cs="仿宋_GB2312"/>
            <w:sz w:val="32"/>
            <w:szCs w:val="32"/>
          </w:rPr>
          <w:delText>深化“多测合一”改革，推动产业园区规划环评与项目环评联动，按环境风险分类管理园区内建设项目，优化项目环评流程。实行工程质量分类监管，继续推进工业项目“标准地”改革，推行重大项目用地“三方联动”和“分级分类”服务保障机制，保障项目用地需求。推进工程建设项目策划生成。重点解决项目审批手续难、园区设施不配套、沉淀资金久、“半拉子”工程等问题。深化工程建设项目全流程在线审批。加快工程建设项目审批、全流程服务、市政设施接“三张网”数据融合建设，实现全程网办。加强“广西工程建设领域网上中介服务超市”应用，提升企业获得感。</w:delText>
        </w:r>
      </w:del>
      <w:del w:id="85" w:author="Rancho" w:date="2023-12-18T14:13:27Z">
        <w:r>
          <w:rPr>
            <w:rFonts w:hint="eastAsia" w:ascii="楷体_GB2312" w:hAnsi="楷体_GB2312" w:eastAsia="楷体_GB2312" w:cs="楷体_GB2312"/>
            <w:sz w:val="32"/>
            <w:szCs w:val="32"/>
          </w:rPr>
          <w:delText>〔牵头单位：区</w:delText>
        </w:r>
      </w:del>
      <w:del w:id="86" w:author="Rancho" w:date="2023-12-18T14:13:27Z">
        <w:r>
          <w:rPr>
            <w:rFonts w:hint="eastAsia" w:ascii="楷体_GB2312" w:hAnsi="楷体_GB2312" w:eastAsia="楷体_GB2312" w:cs="楷体_GB2312"/>
            <w:sz w:val="32"/>
            <w:szCs w:val="32"/>
            <w:lang w:eastAsia="zh-CN"/>
          </w:rPr>
          <w:delText>住建局</w:delText>
        </w:r>
      </w:del>
      <w:del w:id="87" w:author="Rancho" w:date="2023-12-18T14:13:27Z">
        <w:r>
          <w:rPr>
            <w:rFonts w:hint="eastAsia" w:ascii="楷体_GB2312" w:hAnsi="楷体_GB2312" w:eastAsia="楷体_GB2312" w:cs="楷体_GB2312"/>
            <w:sz w:val="32"/>
            <w:szCs w:val="32"/>
          </w:rPr>
          <w:delText>、</w:delText>
        </w:r>
      </w:del>
      <w:del w:id="88" w:author="Rancho" w:date="2023-12-18T14:13:27Z">
        <w:r>
          <w:rPr>
            <w:rFonts w:hint="eastAsia" w:ascii="楷体_GB2312" w:hAnsi="楷体_GB2312" w:eastAsia="楷体_GB2312" w:cs="楷体_GB2312"/>
            <w:sz w:val="32"/>
            <w:szCs w:val="32"/>
            <w:lang w:eastAsia="zh-CN"/>
          </w:rPr>
          <w:delText>自然资源局</w:delText>
        </w:r>
      </w:del>
      <w:del w:id="89" w:author="Rancho" w:date="2023-12-18T14:13:27Z">
        <w:r>
          <w:rPr>
            <w:rFonts w:hint="eastAsia" w:ascii="楷体_GB2312" w:hAnsi="楷体_GB2312" w:eastAsia="楷体_GB2312" w:cs="楷体_GB2312"/>
            <w:sz w:val="32"/>
            <w:szCs w:val="32"/>
          </w:rPr>
          <w:delText>；配合单位：区</w:delText>
        </w:r>
      </w:del>
      <w:del w:id="90" w:author="Rancho" w:date="2023-12-18T14:13:27Z">
        <w:r>
          <w:rPr>
            <w:rFonts w:hint="eastAsia" w:ascii="楷体_GB2312" w:hAnsi="楷体_GB2312" w:eastAsia="楷体_GB2312" w:cs="楷体_GB2312"/>
            <w:sz w:val="32"/>
            <w:szCs w:val="32"/>
            <w:lang w:eastAsia="zh-CN"/>
          </w:rPr>
          <w:delText>发改局</w:delText>
        </w:r>
      </w:del>
      <w:del w:id="91" w:author="Rancho" w:date="2023-12-18T14:13:27Z">
        <w:r>
          <w:rPr>
            <w:rFonts w:hint="eastAsia" w:ascii="楷体_GB2312" w:hAnsi="楷体_GB2312" w:eastAsia="楷体_GB2312" w:cs="楷体_GB2312"/>
            <w:sz w:val="32"/>
            <w:szCs w:val="32"/>
          </w:rPr>
          <w:delText>、</w:delText>
        </w:r>
      </w:del>
      <w:del w:id="92" w:author="Rancho" w:date="2023-12-18T14:13:27Z">
        <w:r>
          <w:rPr>
            <w:rFonts w:hint="eastAsia" w:ascii="楷体_GB2312" w:hAnsi="楷体_GB2312" w:eastAsia="楷体_GB2312" w:cs="楷体_GB2312"/>
            <w:sz w:val="32"/>
            <w:szCs w:val="32"/>
            <w:lang w:eastAsia="zh-CN"/>
          </w:rPr>
          <w:delText>柳北生态环境局</w:delText>
        </w:r>
      </w:del>
      <w:del w:id="93" w:author="Rancho" w:date="2023-12-18T14:13:27Z">
        <w:r>
          <w:rPr>
            <w:rFonts w:hint="eastAsia" w:ascii="楷体_GB2312" w:hAnsi="楷体_GB2312" w:eastAsia="楷体_GB2312" w:cs="楷体_GB2312"/>
            <w:sz w:val="32"/>
            <w:szCs w:val="32"/>
          </w:rPr>
          <w:delText>、</w:delText>
        </w:r>
      </w:del>
      <w:del w:id="94" w:author="Rancho" w:date="2023-12-18T14:13:27Z">
        <w:r>
          <w:rPr>
            <w:rFonts w:hint="eastAsia" w:ascii="楷体_GB2312" w:hAnsi="楷体_GB2312" w:eastAsia="楷体_GB2312" w:cs="楷体_GB2312"/>
            <w:sz w:val="32"/>
            <w:szCs w:val="32"/>
            <w:lang w:eastAsia="zh-CN"/>
          </w:rPr>
          <w:delText>农业农村局</w:delText>
        </w:r>
      </w:del>
      <w:del w:id="95" w:author="Rancho" w:date="2023-12-18T14:13:27Z">
        <w:r>
          <w:rPr>
            <w:rFonts w:hint="eastAsia" w:ascii="楷体_GB2312" w:hAnsi="楷体_GB2312" w:eastAsia="楷体_GB2312" w:cs="楷体_GB2312"/>
            <w:sz w:val="32"/>
            <w:szCs w:val="32"/>
          </w:rPr>
          <w:delText>、政管办〕</w:delText>
        </w:r>
      </w:del>
    </w:p>
    <w:p>
      <w:pPr>
        <w:keepNext w:val="0"/>
        <w:keepLines w:val="0"/>
        <w:pageBreakBefore w:val="0"/>
        <w:widowControl w:val="0"/>
        <w:kinsoku/>
        <w:wordWrap/>
        <w:overflowPunct/>
        <w:topLinePunct w:val="0"/>
        <w:autoSpaceDE/>
        <w:autoSpaceDN/>
        <w:bidi w:val="0"/>
        <w:adjustRightInd/>
        <w:snapToGrid/>
        <w:spacing w:line="600" w:lineRule="exact"/>
        <w:ind w:left="5431" w:leftChars="2280" w:hanging="643" w:hangingChars="200"/>
        <w:textAlignment w:val="auto"/>
        <w:outlineLvl w:val="9"/>
        <w:rPr>
          <w:del w:id="97" w:author="Rancho" w:date="2023-12-18T14:13:27Z"/>
          <w:rFonts w:hint="eastAsia" w:ascii="楷体_GB2312" w:hAnsi="楷体_GB2312" w:eastAsia="楷体_GB2312" w:cs="楷体_GB2312"/>
          <w:sz w:val="32"/>
          <w:szCs w:val="32"/>
        </w:rPr>
        <w:pPrChange w:id="96" w:author="Rancho" w:date="2023-12-18T14:12:56Z">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pPr>
        </w:pPrChange>
      </w:pPr>
      <w:del w:id="98" w:author="Rancho" w:date="2023-12-18T14:13:27Z">
        <w:r>
          <w:rPr>
            <w:rFonts w:hint="eastAsia" w:ascii="仿宋_GB2312" w:hAnsi="仿宋_GB2312" w:eastAsia="仿宋_GB2312" w:cs="仿宋_GB2312"/>
            <w:b/>
            <w:bCs/>
            <w:sz w:val="32"/>
            <w:szCs w:val="32"/>
          </w:rPr>
          <w:delText>（三）市政公共基础设施报装。</w:delText>
        </w:r>
      </w:del>
      <w:del w:id="99" w:author="Rancho" w:date="2023-12-18T14:13:27Z">
        <w:r>
          <w:rPr>
            <w:rFonts w:hint="eastAsia" w:ascii="仿宋_GB2312" w:hAnsi="仿宋_GB2312" w:eastAsia="仿宋_GB2312" w:cs="仿宋_GB2312"/>
            <w:b w:val="0"/>
            <w:bCs w:val="0"/>
            <w:sz w:val="32"/>
            <w:szCs w:val="32"/>
            <w:lang w:eastAsia="zh-CN"/>
          </w:rPr>
          <w:delText>配合柳州市</w:delText>
        </w:r>
      </w:del>
      <w:del w:id="100" w:author="Rancho" w:date="2023-12-18T14:13:27Z">
        <w:r>
          <w:rPr>
            <w:rFonts w:hint="eastAsia" w:ascii="仿宋_GB2312" w:hAnsi="仿宋_GB2312" w:eastAsia="仿宋_GB2312" w:cs="仿宋_GB2312"/>
            <w:sz w:val="32"/>
            <w:szCs w:val="32"/>
          </w:rPr>
          <w:delText>开展城市水气等管道和设施普查，摸清柳北区老旧管道和设施底数。</w:delText>
        </w:r>
      </w:del>
      <w:del w:id="101" w:author="Rancho" w:date="2023-12-18T14:13:27Z">
        <w:r>
          <w:rPr>
            <w:rFonts w:hint="eastAsia" w:ascii="楷体_GB2312" w:hAnsi="楷体_GB2312" w:eastAsia="楷体_GB2312" w:cs="楷体_GB2312"/>
            <w:sz w:val="32"/>
            <w:szCs w:val="32"/>
          </w:rPr>
          <w:delText>〔牵头单位：区</w:delText>
        </w:r>
      </w:del>
      <w:del w:id="102" w:author="Rancho" w:date="2023-12-18T14:13:27Z">
        <w:r>
          <w:rPr>
            <w:rFonts w:hint="eastAsia" w:ascii="楷体_GB2312" w:hAnsi="楷体_GB2312" w:eastAsia="楷体_GB2312" w:cs="楷体_GB2312"/>
            <w:sz w:val="32"/>
            <w:szCs w:val="32"/>
            <w:lang w:eastAsia="zh-CN"/>
          </w:rPr>
          <w:delText>住建局</w:delText>
        </w:r>
      </w:del>
      <w:del w:id="103" w:author="Rancho" w:date="2023-12-18T14:13:27Z">
        <w:r>
          <w:rPr>
            <w:rFonts w:hint="eastAsia" w:ascii="楷体_GB2312" w:hAnsi="楷体_GB2312" w:eastAsia="楷体_GB2312" w:cs="楷体_GB2312"/>
            <w:sz w:val="32"/>
            <w:szCs w:val="32"/>
          </w:rPr>
          <w:delText>〕</w:delText>
        </w:r>
      </w:del>
    </w:p>
    <w:p>
      <w:pPr>
        <w:keepNext w:val="0"/>
        <w:keepLines w:val="0"/>
        <w:pageBreakBefore w:val="0"/>
        <w:widowControl w:val="0"/>
        <w:kinsoku/>
        <w:wordWrap/>
        <w:overflowPunct/>
        <w:topLinePunct w:val="0"/>
        <w:autoSpaceDE/>
        <w:autoSpaceDN/>
        <w:bidi w:val="0"/>
        <w:adjustRightInd/>
        <w:snapToGrid/>
        <w:spacing w:line="600" w:lineRule="exact"/>
        <w:ind w:left="5431" w:leftChars="2280" w:hanging="643" w:hangingChars="200"/>
        <w:textAlignment w:val="auto"/>
        <w:outlineLvl w:val="9"/>
        <w:rPr>
          <w:del w:id="105" w:author="Rancho" w:date="2023-12-18T14:13:27Z"/>
          <w:rFonts w:hint="eastAsia" w:ascii="仿宋_GB2312" w:hAnsi="仿宋_GB2312" w:eastAsia="仿宋_GB2312" w:cs="仿宋_GB2312"/>
          <w:sz w:val="32"/>
          <w:szCs w:val="32"/>
        </w:rPr>
        <w:pPrChange w:id="104" w:author="Rancho" w:date="2023-12-18T14:12:56Z">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pPr>
        </w:pPrChange>
      </w:pPr>
      <w:del w:id="106" w:author="Rancho" w:date="2023-12-18T14:13:27Z">
        <w:r>
          <w:rPr>
            <w:rFonts w:hint="eastAsia" w:ascii="仿宋_GB2312" w:hAnsi="仿宋_GB2312" w:eastAsia="仿宋_GB2312" w:cs="仿宋_GB2312"/>
            <w:b/>
            <w:bCs/>
            <w:sz w:val="32"/>
            <w:szCs w:val="32"/>
          </w:rPr>
          <w:delText>（</w:delText>
        </w:r>
      </w:del>
      <w:del w:id="107" w:author="Rancho" w:date="2023-12-18T14:13:27Z">
        <w:r>
          <w:rPr>
            <w:rFonts w:hint="eastAsia" w:ascii="仿宋_GB2312" w:hAnsi="仿宋_GB2312" w:eastAsia="仿宋_GB2312" w:cs="仿宋_GB2312"/>
            <w:b/>
            <w:bCs/>
            <w:sz w:val="32"/>
            <w:szCs w:val="32"/>
            <w:lang w:eastAsia="zh-CN"/>
          </w:rPr>
          <w:delText>四</w:delText>
        </w:r>
      </w:del>
      <w:del w:id="108" w:author="Rancho" w:date="2023-12-18T14:13:27Z">
        <w:r>
          <w:rPr>
            <w:rFonts w:hint="eastAsia" w:ascii="仿宋_GB2312" w:hAnsi="仿宋_GB2312" w:eastAsia="仿宋_GB2312" w:cs="仿宋_GB2312"/>
            <w:b/>
            <w:bCs/>
            <w:sz w:val="32"/>
            <w:szCs w:val="32"/>
          </w:rPr>
          <w:delText>）人力资源保障服务。</w:delText>
        </w:r>
      </w:del>
      <w:del w:id="109" w:author="Rancho" w:date="2023-12-18T14:13:27Z">
        <w:r>
          <w:rPr>
            <w:rFonts w:hint="eastAsia" w:ascii="仿宋_GB2312" w:hAnsi="仿宋_GB2312" w:eastAsia="仿宋_GB2312" w:cs="仿宋_GB2312"/>
            <w:sz w:val="32"/>
            <w:szCs w:val="32"/>
          </w:rPr>
          <w:delText>优化就业服务，强化企业用工保障，开展整市推进产业工人队伍建设支持企业用工行动，绘制企业“用工需求地图”。完善劳动争议多元调解机制，推进劳动争议调解“一中心、多工作室、多站点”平台体系的规范化建设和统一化管理，确保2023年底前实现劳动人事争议调解成功率70.3%以上。拖欠农民工工资举报投诉案件结案率达到98%。聚焦“引育用留”，做好人才发展工作，增强人才引领力和驱动力，</w:delText>
        </w:r>
      </w:del>
      <w:del w:id="110" w:author="Rancho" w:date="2023-12-18T14:13:27Z">
        <w:r>
          <w:rPr>
            <w:rFonts w:hint="eastAsia" w:ascii="仿宋_GB2312" w:hAnsi="仿宋_GB2312" w:eastAsia="仿宋_GB2312" w:cs="仿宋_GB2312"/>
            <w:sz w:val="32"/>
            <w:szCs w:val="32"/>
            <w:lang w:eastAsia="zh-CN"/>
          </w:rPr>
          <w:delText>配合市级完成</w:delText>
        </w:r>
      </w:del>
      <w:del w:id="111" w:author="Rancho" w:date="2023-12-18T14:13:27Z">
        <w:r>
          <w:rPr>
            <w:rFonts w:hint="eastAsia" w:ascii="仿宋_GB2312" w:hAnsi="仿宋_GB2312" w:eastAsia="仿宋_GB2312" w:cs="仿宋_GB2312"/>
            <w:sz w:val="32"/>
            <w:szCs w:val="32"/>
          </w:rPr>
          <w:delText>年内新增高技能人才1600人。加强高层次人才队伍、专业技术人才队伍建设，配合</w:delText>
        </w:r>
      </w:del>
      <w:del w:id="112" w:author="Rancho" w:date="2023-12-18T14:13:27Z">
        <w:r>
          <w:rPr>
            <w:rFonts w:hint="eastAsia" w:ascii="仿宋_GB2312" w:hAnsi="仿宋_GB2312" w:eastAsia="仿宋_GB2312" w:cs="仿宋_GB2312"/>
            <w:sz w:val="32"/>
            <w:szCs w:val="32"/>
            <w:lang w:eastAsia="zh-CN"/>
          </w:rPr>
          <w:delText>柳州市</w:delText>
        </w:r>
      </w:del>
      <w:del w:id="113" w:author="Rancho" w:date="2023-12-18T14:13:27Z">
        <w:r>
          <w:rPr>
            <w:rFonts w:hint="eastAsia" w:ascii="仿宋_GB2312" w:hAnsi="仿宋_GB2312" w:eastAsia="仿宋_GB2312" w:cs="仿宋_GB2312"/>
            <w:sz w:val="32"/>
            <w:szCs w:val="32"/>
          </w:rPr>
          <w:delText>做好自治区特聘专家、广西人才小高地和自治区高层次人才认定等重大人才项目的申报初评及推荐工作。</w:delText>
        </w:r>
      </w:del>
      <w:del w:id="114" w:author="Rancho" w:date="2023-12-18T14:13:27Z">
        <w:r>
          <w:rPr>
            <w:rFonts w:hint="eastAsia" w:ascii="楷体_GB2312" w:hAnsi="楷体_GB2312" w:eastAsia="楷体_GB2312" w:cs="楷体_GB2312"/>
            <w:sz w:val="32"/>
            <w:szCs w:val="32"/>
          </w:rPr>
          <w:delText>〔牵头单位：区</w:delText>
        </w:r>
      </w:del>
      <w:del w:id="115" w:author="Rancho" w:date="2023-12-18T14:13:27Z">
        <w:r>
          <w:rPr>
            <w:rFonts w:hint="eastAsia" w:ascii="楷体_GB2312" w:hAnsi="楷体_GB2312" w:eastAsia="楷体_GB2312" w:cs="楷体_GB2312"/>
            <w:sz w:val="32"/>
            <w:szCs w:val="32"/>
            <w:lang w:eastAsia="zh-CN"/>
          </w:rPr>
          <w:delText>人社局</w:delText>
        </w:r>
      </w:del>
      <w:del w:id="116" w:author="Rancho" w:date="2023-12-18T14:13:27Z">
        <w:r>
          <w:rPr>
            <w:rFonts w:hint="eastAsia" w:ascii="楷体_GB2312" w:hAnsi="楷体_GB2312" w:eastAsia="楷体_GB2312" w:cs="楷体_GB2312"/>
            <w:sz w:val="32"/>
            <w:szCs w:val="32"/>
          </w:rPr>
          <w:delText>；配合单位：区教育局、科技局〕</w:delText>
        </w:r>
      </w:del>
    </w:p>
    <w:p>
      <w:pPr>
        <w:keepNext w:val="0"/>
        <w:keepLines w:val="0"/>
        <w:pageBreakBefore w:val="0"/>
        <w:widowControl w:val="0"/>
        <w:kinsoku/>
        <w:wordWrap/>
        <w:overflowPunct/>
        <w:topLinePunct w:val="0"/>
        <w:autoSpaceDE/>
        <w:autoSpaceDN/>
        <w:bidi w:val="0"/>
        <w:adjustRightInd/>
        <w:snapToGrid/>
        <w:spacing w:line="600" w:lineRule="exact"/>
        <w:ind w:left="5431" w:leftChars="2280" w:hanging="643" w:hangingChars="200"/>
        <w:textAlignment w:val="auto"/>
        <w:outlineLvl w:val="9"/>
        <w:rPr>
          <w:del w:id="118" w:author="Rancho" w:date="2023-12-18T14:13:27Z"/>
          <w:rFonts w:hint="eastAsia" w:ascii="仿宋_GB2312" w:hAnsi="仿宋_GB2312" w:eastAsia="仿宋_GB2312" w:cs="仿宋_GB2312"/>
          <w:sz w:val="32"/>
          <w:szCs w:val="32"/>
        </w:rPr>
        <w:pPrChange w:id="117" w:author="Rancho" w:date="2023-12-18T14:12:56Z">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pPr>
        </w:pPrChange>
      </w:pPr>
      <w:del w:id="119" w:author="Rancho" w:date="2023-12-18T14:13:27Z">
        <w:r>
          <w:rPr>
            <w:rFonts w:hint="eastAsia" w:ascii="仿宋_GB2312" w:hAnsi="仿宋_GB2312" w:eastAsia="仿宋_GB2312" w:cs="仿宋_GB2312"/>
            <w:b/>
            <w:bCs/>
            <w:sz w:val="32"/>
            <w:szCs w:val="32"/>
          </w:rPr>
          <w:delText>（</w:delText>
        </w:r>
      </w:del>
      <w:del w:id="120" w:author="Rancho" w:date="2023-12-18T14:13:27Z">
        <w:r>
          <w:rPr>
            <w:rFonts w:hint="eastAsia" w:ascii="仿宋_GB2312" w:hAnsi="仿宋_GB2312" w:eastAsia="仿宋_GB2312" w:cs="仿宋_GB2312"/>
            <w:b/>
            <w:bCs/>
            <w:sz w:val="32"/>
            <w:szCs w:val="32"/>
            <w:lang w:eastAsia="zh-CN"/>
          </w:rPr>
          <w:delText>五</w:delText>
        </w:r>
      </w:del>
      <w:del w:id="121" w:author="Rancho" w:date="2023-12-18T14:13:27Z">
        <w:r>
          <w:rPr>
            <w:rFonts w:hint="eastAsia" w:ascii="仿宋_GB2312" w:hAnsi="仿宋_GB2312" w:eastAsia="仿宋_GB2312" w:cs="仿宋_GB2312"/>
            <w:b/>
            <w:bCs/>
            <w:sz w:val="32"/>
            <w:szCs w:val="32"/>
          </w:rPr>
          <w:delText>）创新创业。</w:delText>
        </w:r>
      </w:del>
      <w:del w:id="122" w:author="Rancho" w:date="2023-12-18T14:13:27Z">
        <w:r>
          <w:rPr>
            <w:rFonts w:hint="eastAsia" w:ascii="仿宋_GB2312" w:hAnsi="仿宋_GB2312" w:eastAsia="仿宋_GB2312" w:cs="仿宋_GB2312"/>
            <w:sz w:val="32"/>
            <w:szCs w:val="32"/>
          </w:rPr>
          <w:delText>着力提升制造业数字化水平，以工业互联网平台为依托，开展智能制造，提升数字化、网络化、智能化发展水平。着力培育企业技术中心。加大创新主体培育，全年完成</w:delText>
        </w:r>
      </w:del>
      <w:del w:id="123" w:author="Rancho" w:date="2023-12-18T14:13:27Z">
        <w:r>
          <w:rPr>
            <w:rFonts w:hint="eastAsia" w:ascii="仿宋_GB2312" w:hAnsi="仿宋_GB2312" w:eastAsia="仿宋_GB2312" w:cs="仿宋_GB2312"/>
            <w:sz w:val="32"/>
            <w:szCs w:val="32"/>
            <w:lang w:val="en-US" w:eastAsia="zh-CN"/>
          </w:rPr>
          <w:delText>68</w:delText>
        </w:r>
      </w:del>
      <w:del w:id="124" w:author="Rancho" w:date="2023-12-18T14:13:27Z">
        <w:r>
          <w:rPr>
            <w:rFonts w:hint="eastAsia" w:ascii="仿宋_GB2312" w:hAnsi="仿宋_GB2312" w:eastAsia="仿宋_GB2312" w:cs="仿宋_GB2312"/>
            <w:sz w:val="32"/>
            <w:szCs w:val="32"/>
          </w:rPr>
          <w:delText>家科技型中小企业评价入库数任务；力争培育国家高新技术企业</w:delText>
        </w:r>
      </w:del>
      <w:del w:id="125" w:author="Rancho" w:date="2023-12-18T14:13:27Z">
        <w:r>
          <w:rPr>
            <w:rFonts w:hint="eastAsia" w:ascii="仿宋_GB2312" w:hAnsi="仿宋_GB2312" w:eastAsia="仿宋_GB2312" w:cs="仿宋_GB2312"/>
            <w:sz w:val="32"/>
            <w:szCs w:val="32"/>
            <w:lang w:val="en-US" w:eastAsia="zh-CN"/>
          </w:rPr>
          <w:delText>22</w:delText>
        </w:r>
      </w:del>
      <w:del w:id="126" w:author="Rancho" w:date="2023-12-18T14:13:27Z">
        <w:r>
          <w:rPr>
            <w:rFonts w:hint="eastAsia" w:ascii="仿宋_GB2312" w:hAnsi="仿宋_GB2312" w:eastAsia="仿宋_GB2312" w:cs="仿宋_GB2312"/>
            <w:sz w:val="32"/>
            <w:szCs w:val="32"/>
          </w:rPr>
          <w:delText>家以上、专精特新企业</w:delText>
        </w:r>
      </w:del>
      <w:del w:id="127" w:author="Rancho" w:date="2023-12-18T14:13:27Z">
        <w:r>
          <w:rPr>
            <w:rFonts w:hint="eastAsia" w:ascii="仿宋_GB2312" w:hAnsi="仿宋_GB2312" w:eastAsia="仿宋_GB2312" w:cs="仿宋_GB2312"/>
            <w:sz w:val="32"/>
            <w:szCs w:val="32"/>
            <w:lang w:val="en-US" w:eastAsia="zh-CN"/>
          </w:rPr>
          <w:delText>3</w:delText>
        </w:r>
      </w:del>
      <w:del w:id="128" w:author="Rancho" w:date="2023-12-18T14:13:27Z">
        <w:r>
          <w:rPr>
            <w:rFonts w:hint="eastAsia" w:ascii="仿宋_GB2312" w:hAnsi="仿宋_GB2312" w:eastAsia="仿宋_GB2312" w:cs="仿宋_GB2312"/>
            <w:sz w:val="32"/>
            <w:szCs w:val="32"/>
          </w:rPr>
          <w:delText>家以上。深化科技成果使用权、处置权和收益权改革，积极争取职务科技成果转化前非资产化管理改革试点，充分调动科研人员开展技术创新和成果转化的积极性。加快推动科研领域“放管服”改革，配合完善区级科技企业孵化器评价指标体系。加大创新驱动发展强支撑，持续推进科创示范带合围工作，全面打造柳北区科技创新示范带</w:delText>
        </w:r>
      </w:del>
      <w:del w:id="129" w:author="Rancho" w:date="2023-12-18T14:13:27Z">
        <w:r>
          <w:rPr>
            <w:rFonts w:hint="eastAsia" w:ascii="楷体_GB2312" w:hAnsi="楷体_GB2312" w:eastAsia="楷体_GB2312" w:cs="楷体_GB2312"/>
            <w:sz w:val="32"/>
            <w:szCs w:val="32"/>
          </w:rPr>
          <w:delText>〔牵头单位：区科技局、</w:delText>
        </w:r>
      </w:del>
      <w:del w:id="130" w:author="Rancho" w:date="2023-12-18T14:13:27Z">
        <w:r>
          <w:rPr>
            <w:rFonts w:hint="eastAsia" w:ascii="楷体_GB2312" w:hAnsi="楷体_GB2312" w:eastAsia="楷体_GB2312" w:cs="楷体_GB2312"/>
            <w:sz w:val="32"/>
            <w:szCs w:val="32"/>
            <w:lang w:eastAsia="zh-CN"/>
          </w:rPr>
          <w:delText>工信局</w:delText>
        </w:r>
      </w:del>
      <w:del w:id="131" w:author="Rancho" w:date="2023-12-18T14:13:27Z">
        <w:r>
          <w:rPr>
            <w:rFonts w:hint="eastAsia" w:ascii="楷体_GB2312" w:hAnsi="楷体_GB2312" w:eastAsia="楷体_GB2312" w:cs="楷体_GB2312"/>
            <w:sz w:val="32"/>
            <w:szCs w:val="32"/>
          </w:rPr>
          <w:delText>按职责分工负责；配合单位：区教育局、财政局、</w:delText>
        </w:r>
      </w:del>
      <w:del w:id="132" w:author="Rancho" w:date="2023-12-18T14:13:27Z">
        <w:r>
          <w:rPr>
            <w:rFonts w:hint="eastAsia" w:ascii="楷体_GB2312" w:hAnsi="楷体_GB2312" w:eastAsia="楷体_GB2312" w:cs="楷体_GB2312"/>
            <w:sz w:val="32"/>
            <w:szCs w:val="32"/>
            <w:lang w:eastAsia="zh-CN"/>
          </w:rPr>
          <w:delText>人社局</w:delText>
        </w:r>
      </w:del>
      <w:del w:id="133" w:author="Rancho" w:date="2023-12-18T14:13:27Z">
        <w:r>
          <w:rPr>
            <w:rFonts w:hint="eastAsia" w:ascii="楷体_GB2312" w:hAnsi="楷体_GB2312" w:eastAsia="楷体_GB2312" w:cs="楷体_GB2312"/>
            <w:sz w:val="32"/>
            <w:szCs w:val="32"/>
          </w:rPr>
          <w:delText>、区</w:delText>
        </w:r>
      </w:del>
      <w:del w:id="134" w:author="Rancho" w:date="2023-12-18T14:13:27Z">
        <w:r>
          <w:rPr>
            <w:rFonts w:hint="eastAsia" w:ascii="楷体_GB2312" w:hAnsi="楷体_GB2312" w:eastAsia="楷体_GB2312" w:cs="楷体_GB2312"/>
            <w:sz w:val="32"/>
            <w:szCs w:val="32"/>
            <w:lang w:eastAsia="zh-CN"/>
          </w:rPr>
          <w:delText>市</w:delText>
        </w:r>
      </w:del>
      <w:del w:id="135" w:author="Rancho" w:date="2023-12-18T14:13:27Z">
        <w:r>
          <w:rPr>
            <w:rFonts w:hint="eastAsia" w:ascii="楷体_GB2312" w:hAnsi="楷体_GB2312" w:eastAsia="楷体_GB2312" w:cs="楷体_GB2312"/>
            <w:sz w:val="32"/>
            <w:szCs w:val="32"/>
          </w:rPr>
          <w:delText>场监管局〕</w:delText>
        </w:r>
      </w:del>
    </w:p>
    <w:p>
      <w:pPr>
        <w:keepNext w:val="0"/>
        <w:keepLines w:val="0"/>
        <w:pageBreakBefore w:val="0"/>
        <w:widowControl w:val="0"/>
        <w:kinsoku/>
        <w:wordWrap/>
        <w:overflowPunct/>
        <w:topLinePunct w:val="0"/>
        <w:autoSpaceDE/>
        <w:autoSpaceDN/>
        <w:bidi w:val="0"/>
        <w:adjustRightInd/>
        <w:snapToGrid/>
        <w:spacing w:line="600" w:lineRule="exact"/>
        <w:ind w:left="5431" w:leftChars="2280" w:hanging="643" w:hangingChars="200"/>
        <w:textAlignment w:val="auto"/>
        <w:outlineLvl w:val="9"/>
        <w:rPr>
          <w:del w:id="137" w:author="Rancho" w:date="2023-12-18T14:13:27Z"/>
          <w:rFonts w:hint="eastAsia" w:ascii="楷体_GB2312" w:hAnsi="楷体_GB2312" w:eastAsia="楷体_GB2312" w:cs="楷体_GB2312"/>
          <w:sz w:val="32"/>
          <w:szCs w:val="32"/>
        </w:rPr>
        <w:pPrChange w:id="136" w:author="Rancho" w:date="2023-12-18T14:12:56Z">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pPr>
        </w:pPrChange>
      </w:pPr>
      <w:del w:id="138" w:author="Rancho" w:date="2023-12-18T14:13:27Z">
        <w:r>
          <w:rPr>
            <w:rFonts w:hint="eastAsia" w:ascii="仿宋_GB2312" w:hAnsi="仿宋_GB2312" w:eastAsia="仿宋_GB2312" w:cs="仿宋_GB2312"/>
            <w:b/>
            <w:bCs/>
            <w:sz w:val="32"/>
            <w:szCs w:val="32"/>
          </w:rPr>
          <w:delText>（</w:delText>
        </w:r>
      </w:del>
      <w:del w:id="139" w:author="Rancho" w:date="2023-12-18T14:13:27Z">
        <w:r>
          <w:rPr>
            <w:rFonts w:hint="eastAsia" w:ascii="仿宋_GB2312" w:hAnsi="仿宋_GB2312" w:eastAsia="仿宋_GB2312" w:cs="仿宋_GB2312"/>
            <w:b/>
            <w:bCs/>
            <w:sz w:val="32"/>
            <w:szCs w:val="32"/>
            <w:lang w:eastAsia="zh-CN"/>
          </w:rPr>
          <w:delText>六</w:delText>
        </w:r>
      </w:del>
      <w:del w:id="140" w:author="Rancho" w:date="2023-12-18T14:13:27Z">
        <w:r>
          <w:rPr>
            <w:rFonts w:hint="eastAsia" w:ascii="仿宋_GB2312" w:hAnsi="仿宋_GB2312" w:eastAsia="仿宋_GB2312" w:cs="仿宋_GB2312"/>
            <w:b/>
            <w:bCs/>
            <w:sz w:val="32"/>
            <w:szCs w:val="32"/>
          </w:rPr>
          <w:delText>）纳税服务。</w:delText>
        </w:r>
      </w:del>
      <w:del w:id="141" w:author="Rancho" w:date="2023-12-18T14:13:27Z">
        <w:r>
          <w:rPr>
            <w:rFonts w:hint="eastAsia" w:ascii="仿宋_GB2312" w:hAnsi="仿宋_GB2312" w:eastAsia="仿宋_GB2312" w:cs="仿宋_GB2312"/>
            <w:sz w:val="32"/>
            <w:szCs w:val="32"/>
          </w:rPr>
          <w:delText>落实出口退税智能化办税，进一步压缩出口退税办理时长。简化办税缴费流程，按场景整合精减电子税务局税费业务办理环节。做优纳税服务“税好办”品牌，配合做好税收征管数字化升级和智能化改造，推广全面数字化的电子发票。配合做好深化非税收入收缴电子化改革，积极拓展多样化便民缴款用票方式，推动非税收入全领域电子缴款。量身定制税费服务方案，助力柳北区“一二五”工程。打造“税务+社区”服务品牌，深化与社区资源共建共享。梳理整合涉税同城统一事项，实现同城“统一标准、统一步骤、统一尺度、统一解答”。充分发挥税（费）争议咨询调解中心作用，促进纳税遵从。依托征纳互动平台为纳税人提供线上“网联网”的“陪伴式”服务。提升纳税人诉求响应解决效率，纳税人诉求渠道知晓和实际使用率及纳税人发起人工服务需求响应及时率均不低于80%，纳税人诉求解决率不低于90%。</w:delText>
        </w:r>
      </w:del>
      <w:del w:id="142" w:author="Rancho" w:date="2023-12-18T14:13:27Z">
        <w:r>
          <w:rPr>
            <w:rFonts w:hint="eastAsia" w:ascii="楷体_GB2312" w:hAnsi="楷体_GB2312" w:eastAsia="楷体_GB2312" w:cs="楷体_GB2312"/>
            <w:sz w:val="32"/>
            <w:szCs w:val="32"/>
          </w:rPr>
          <w:delText>〔牵头单位：</w:delText>
        </w:r>
      </w:del>
      <w:del w:id="143" w:author="Rancho" w:date="2023-12-18T14:13:27Z">
        <w:r>
          <w:rPr>
            <w:rFonts w:hint="eastAsia" w:ascii="楷体_GB2312" w:hAnsi="楷体_GB2312" w:eastAsia="楷体_GB2312" w:cs="楷体_GB2312"/>
            <w:sz w:val="32"/>
            <w:szCs w:val="32"/>
            <w:lang w:eastAsia="zh-CN"/>
          </w:rPr>
          <w:delText>柳北税务局</w:delText>
        </w:r>
      </w:del>
      <w:del w:id="144" w:author="Rancho" w:date="2023-12-18T14:13:27Z">
        <w:r>
          <w:rPr>
            <w:rFonts w:hint="eastAsia" w:ascii="楷体_GB2312" w:hAnsi="楷体_GB2312" w:eastAsia="楷体_GB2312" w:cs="楷体_GB2312"/>
            <w:sz w:val="32"/>
            <w:szCs w:val="32"/>
          </w:rPr>
          <w:delText>，区财政局按职责分工负责；配合单位：市公安局柳北分局</w:delText>
        </w:r>
      </w:del>
      <w:del w:id="145" w:author="Rancho" w:date="2023-12-18T14:13:27Z">
        <w:r>
          <w:rPr>
            <w:rFonts w:hint="eastAsia" w:ascii="楷体_GB2312" w:hAnsi="楷体_GB2312" w:eastAsia="楷体_GB2312" w:cs="楷体_GB2312"/>
            <w:sz w:val="32"/>
            <w:szCs w:val="32"/>
            <w:lang w:eastAsia="zh-CN"/>
          </w:rPr>
          <w:delText>，政务网络服务中心</w:delText>
        </w:r>
      </w:del>
      <w:del w:id="146" w:author="Rancho" w:date="2023-12-18T14:13:27Z">
        <w:r>
          <w:rPr>
            <w:rFonts w:hint="eastAsia" w:ascii="楷体_GB2312" w:hAnsi="楷体_GB2312" w:eastAsia="楷体_GB2312" w:cs="楷体_GB2312"/>
            <w:sz w:val="32"/>
            <w:szCs w:val="32"/>
          </w:rPr>
          <w:delText>〕</w:delText>
        </w:r>
      </w:del>
    </w:p>
    <w:p>
      <w:pPr>
        <w:keepNext w:val="0"/>
        <w:keepLines w:val="0"/>
        <w:pageBreakBefore w:val="0"/>
        <w:widowControl w:val="0"/>
        <w:kinsoku/>
        <w:wordWrap/>
        <w:overflowPunct/>
        <w:topLinePunct w:val="0"/>
        <w:autoSpaceDE/>
        <w:autoSpaceDN/>
        <w:bidi w:val="0"/>
        <w:adjustRightInd/>
        <w:snapToGrid/>
        <w:spacing w:line="600" w:lineRule="exact"/>
        <w:ind w:left="5431" w:leftChars="2280" w:hanging="643" w:hangingChars="200"/>
        <w:textAlignment w:val="auto"/>
        <w:outlineLvl w:val="9"/>
        <w:rPr>
          <w:del w:id="148" w:author="Rancho" w:date="2023-12-18T14:13:27Z"/>
          <w:rFonts w:hint="eastAsia" w:ascii="楷体_GB2312" w:hAnsi="楷体_GB2312" w:eastAsia="楷体_GB2312" w:cs="楷体_GB2312"/>
          <w:sz w:val="32"/>
          <w:szCs w:val="32"/>
        </w:rPr>
        <w:pPrChange w:id="147" w:author="Rancho" w:date="2023-12-18T14:12:56Z">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pPr>
        </w:pPrChange>
      </w:pPr>
      <w:del w:id="149" w:author="Rancho" w:date="2023-12-18T14:13:27Z">
        <w:r>
          <w:rPr>
            <w:rFonts w:hint="eastAsia" w:ascii="仿宋_GB2312" w:hAnsi="仿宋_GB2312" w:eastAsia="仿宋_GB2312" w:cs="仿宋_GB2312"/>
            <w:b/>
            <w:bCs/>
            <w:sz w:val="32"/>
            <w:szCs w:val="32"/>
          </w:rPr>
          <w:delText>（</w:delText>
        </w:r>
      </w:del>
      <w:del w:id="150" w:author="Rancho" w:date="2023-12-18T14:13:27Z">
        <w:r>
          <w:rPr>
            <w:rFonts w:hint="eastAsia" w:ascii="仿宋_GB2312" w:hAnsi="仿宋_GB2312" w:eastAsia="仿宋_GB2312" w:cs="仿宋_GB2312"/>
            <w:b/>
            <w:bCs/>
            <w:sz w:val="32"/>
            <w:szCs w:val="32"/>
            <w:lang w:eastAsia="zh-CN"/>
          </w:rPr>
          <w:delText>七</w:delText>
        </w:r>
      </w:del>
      <w:del w:id="151" w:author="Rancho" w:date="2023-12-18T14:13:27Z">
        <w:r>
          <w:rPr>
            <w:rFonts w:hint="eastAsia" w:ascii="仿宋_GB2312" w:hAnsi="仿宋_GB2312" w:eastAsia="仿宋_GB2312" w:cs="仿宋_GB2312"/>
            <w:b/>
            <w:bCs/>
            <w:sz w:val="32"/>
            <w:szCs w:val="32"/>
          </w:rPr>
          <w:delText>）解决商业纠纷。</w:delText>
        </w:r>
      </w:del>
      <w:del w:id="152" w:author="Rancho" w:date="2023-12-18T14:13:27Z">
        <w:r>
          <w:rPr>
            <w:rFonts w:hint="eastAsia" w:ascii="仿宋_GB2312" w:hAnsi="仿宋_GB2312" w:eastAsia="仿宋_GB2312" w:cs="仿宋_GB2312"/>
            <w:sz w:val="32"/>
            <w:szCs w:val="32"/>
          </w:rPr>
          <w:delText>在法院诉讼服务中心为符合条件的当事人及其代理人提供全区人口信息查询服务。提升审判质量效率。加强立案、保全、鉴定、上诉流转等案件流程节点管控。全面推进涉案企业合规改革试点工作。压缩解决商业纠纷平均用时至120天以内（含120天，扣除当事人申请强制执行的时间），降低法院解决商业纠纷诉讼成本占索赔额比例至2.4%以下。加快推进涉企业纠纷联动解决机制建设，实施法律服务进企业和免费法律咨询等专项行动。</w:delText>
        </w:r>
      </w:del>
      <w:del w:id="153" w:author="Rancho" w:date="2023-12-18T14:13:27Z">
        <w:r>
          <w:rPr>
            <w:rFonts w:hint="eastAsia" w:ascii="楷体_GB2312" w:hAnsi="楷体_GB2312" w:eastAsia="楷体_GB2312" w:cs="楷体_GB2312"/>
            <w:sz w:val="32"/>
            <w:szCs w:val="32"/>
          </w:rPr>
          <w:delText>〔牵头单位：区人民法院，人民检察院按职责分工负责；配合单位：区工商联、司法局、市场监管局</w:delText>
        </w:r>
      </w:del>
      <w:del w:id="154" w:author="Rancho" w:date="2023-12-18T14:13:27Z">
        <w:r>
          <w:rPr>
            <w:rFonts w:hint="eastAsia" w:ascii="楷体_GB2312" w:hAnsi="楷体_GB2312" w:eastAsia="楷体_GB2312" w:cs="楷体_GB2312"/>
            <w:sz w:val="32"/>
            <w:szCs w:val="32"/>
            <w:lang w:eastAsia="zh-CN"/>
          </w:rPr>
          <w:delText>，</w:delText>
        </w:r>
      </w:del>
      <w:del w:id="155" w:author="Rancho" w:date="2023-12-18T14:13:27Z">
        <w:r>
          <w:rPr>
            <w:rFonts w:hint="eastAsia" w:ascii="楷体_GB2312" w:hAnsi="楷体_GB2312" w:eastAsia="楷体_GB2312" w:cs="楷体_GB2312"/>
            <w:sz w:val="32"/>
            <w:szCs w:val="32"/>
          </w:rPr>
          <w:delText>市公安局柳北分局〕</w:delText>
        </w:r>
      </w:del>
    </w:p>
    <w:p>
      <w:pPr>
        <w:keepNext w:val="0"/>
        <w:keepLines w:val="0"/>
        <w:pageBreakBefore w:val="0"/>
        <w:widowControl w:val="0"/>
        <w:kinsoku/>
        <w:wordWrap/>
        <w:overflowPunct/>
        <w:topLinePunct w:val="0"/>
        <w:autoSpaceDE/>
        <w:autoSpaceDN/>
        <w:bidi w:val="0"/>
        <w:adjustRightInd/>
        <w:snapToGrid/>
        <w:spacing w:line="600" w:lineRule="exact"/>
        <w:ind w:left="5431" w:leftChars="2280" w:hanging="643" w:hangingChars="200"/>
        <w:textAlignment w:val="auto"/>
        <w:outlineLvl w:val="9"/>
        <w:rPr>
          <w:del w:id="157" w:author="Rancho" w:date="2023-12-18T14:13:27Z"/>
          <w:rFonts w:hint="eastAsia" w:ascii="仿宋_GB2312" w:hAnsi="仿宋_GB2312" w:eastAsia="仿宋_GB2312" w:cs="仿宋_GB2312"/>
          <w:sz w:val="32"/>
          <w:szCs w:val="32"/>
        </w:rPr>
        <w:pPrChange w:id="156" w:author="Rancho" w:date="2023-12-18T14:12:56Z">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pPr>
        </w:pPrChange>
      </w:pPr>
      <w:del w:id="158" w:author="Rancho" w:date="2023-12-18T14:13:27Z">
        <w:r>
          <w:rPr>
            <w:rFonts w:hint="eastAsia" w:ascii="仿宋_GB2312" w:hAnsi="仿宋_GB2312" w:eastAsia="仿宋_GB2312" w:cs="仿宋_GB2312"/>
            <w:b/>
            <w:bCs/>
            <w:sz w:val="32"/>
            <w:szCs w:val="32"/>
          </w:rPr>
          <w:delText>（</w:delText>
        </w:r>
      </w:del>
      <w:del w:id="159" w:author="Rancho" w:date="2023-12-18T14:13:27Z">
        <w:r>
          <w:rPr>
            <w:rFonts w:hint="eastAsia" w:ascii="仿宋_GB2312" w:hAnsi="仿宋_GB2312" w:eastAsia="仿宋_GB2312" w:cs="仿宋_GB2312"/>
            <w:b/>
            <w:bCs/>
            <w:sz w:val="32"/>
            <w:szCs w:val="32"/>
            <w:lang w:eastAsia="zh-CN"/>
          </w:rPr>
          <w:delText>八</w:delText>
        </w:r>
      </w:del>
      <w:del w:id="160" w:author="Rancho" w:date="2023-12-18T14:13:27Z">
        <w:r>
          <w:rPr>
            <w:rFonts w:hint="eastAsia" w:ascii="仿宋_GB2312" w:hAnsi="仿宋_GB2312" w:eastAsia="仿宋_GB2312" w:cs="仿宋_GB2312"/>
            <w:b/>
            <w:bCs/>
            <w:sz w:val="32"/>
            <w:szCs w:val="32"/>
          </w:rPr>
          <w:delText>）促进公平竞争市场秩序。</w:delText>
        </w:r>
      </w:del>
      <w:del w:id="161" w:author="Rancho" w:date="2023-12-18T14:13:27Z">
        <w:r>
          <w:rPr>
            <w:rFonts w:hint="eastAsia" w:ascii="仿宋_GB2312" w:hAnsi="仿宋_GB2312" w:eastAsia="仿宋_GB2312" w:cs="仿宋_GB2312"/>
            <w:sz w:val="32"/>
            <w:szCs w:val="32"/>
          </w:rPr>
          <w:delText>持续清理妨碍政府采购公平竞争的规定和做法，完善政府采购诚信体系，推进政府采购信用管理。推广政府采购领域电子证照、电子签章的应用。进一步规范政府采购意向公开，除政府采购框架协议采购、电子卖场等小额零星采购和由集中采购机构统一组织的批量集中采购外，按项目实施的集中采购目录以内或者采购限额标准以上的货物、工程、服务采购均应当公开政府采购意向。加快采购项目资金支付速度，对满足合同约定支付条件的采购项目，采购人需在收到发票后30日内将资金支付到合同约定的供应商账户。清理取消企业在招标投标方面存在的差别化待遇，清理通过划分企业等级、增设证明事项、设立项目库、注册、认证、认定等非必要条件排除和限制竞争的行为。推进招标投标全流程电子化，强化招标投标监管，积极推行专家“随机工位制”远程评标方式，清理公共资源交易中心历史沉淀投标保证金，及时向社会公开清理结果。</w:delText>
        </w:r>
      </w:del>
      <w:del w:id="162" w:author="Rancho" w:date="2023-12-18T14:13:27Z">
        <w:r>
          <w:rPr>
            <w:rFonts w:hint="eastAsia" w:ascii="楷体_GB2312" w:hAnsi="楷体_GB2312" w:eastAsia="楷体_GB2312" w:cs="楷体_GB2312"/>
            <w:sz w:val="32"/>
            <w:szCs w:val="32"/>
          </w:rPr>
          <w:delText>〔牵头单位：区财政局、</w:delText>
        </w:r>
      </w:del>
      <w:del w:id="163" w:author="Rancho" w:date="2023-12-18T14:13:27Z">
        <w:r>
          <w:rPr>
            <w:rFonts w:hint="eastAsia" w:ascii="楷体_GB2312" w:hAnsi="楷体_GB2312" w:eastAsia="楷体_GB2312" w:cs="楷体_GB2312"/>
            <w:sz w:val="32"/>
            <w:szCs w:val="32"/>
            <w:lang w:eastAsia="zh-CN"/>
          </w:rPr>
          <w:delText>招标办</w:delText>
        </w:r>
      </w:del>
      <w:del w:id="164" w:author="Rancho" w:date="2023-12-18T14:13:27Z">
        <w:r>
          <w:rPr>
            <w:rFonts w:hint="eastAsia" w:ascii="楷体_GB2312" w:hAnsi="楷体_GB2312" w:eastAsia="楷体_GB2312" w:cs="楷体_GB2312"/>
            <w:sz w:val="32"/>
            <w:szCs w:val="32"/>
          </w:rPr>
          <w:delText>按职责分工负责；配合单位：</w:delText>
        </w:r>
      </w:del>
      <w:del w:id="165" w:author="Rancho" w:date="2023-12-18T14:13:27Z">
        <w:r>
          <w:rPr>
            <w:rFonts w:hint="eastAsia" w:ascii="楷体_GB2312" w:hAnsi="楷体_GB2312" w:eastAsia="楷体_GB2312" w:cs="楷体_GB2312"/>
            <w:sz w:val="32"/>
            <w:szCs w:val="32"/>
            <w:lang w:eastAsia="zh-CN"/>
          </w:rPr>
          <w:delText>区发改局</w:delText>
        </w:r>
      </w:del>
      <w:del w:id="166" w:author="Rancho" w:date="2023-12-18T14:13:27Z">
        <w:r>
          <w:rPr>
            <w:rFonts w:hint="eastAsia" w:ascii="楷体_GB2312" w:hAnsi="楷体_GB2312" w:eastAsia="楷体_GB2312" w:cs="楷体_GB2312"/>
            <w:sz w:val="32"/>
            <w:szCs w:val="32"/>
          </w:rPr>
          <w:delText>、</w:delText>
        </w:r>
      </w:del>
      <w:del w:id="167" w:author="Rancho" w:date="2023-12-18T14:13:27Z">
        <w:r>
          <w:rPr>
            <w:rFonts w:hint="eastAsia" w:ascii="楷体_GB2312" w:hAnsi="楷体_GB2312" w:eastAsia="楷体_GB2312" w:cs="楷体_GB2312"/>
            <w:sz w:val="32"/>
            <w:szCs w:val="32"/>
            <w:lang w:eastAsia="zh-CN"/>
          </w:rPr>
          <w:delText>政管办、住建局</w:delText>
        </w:r>
      </w:del>
      <w:del w:id="168" w:author="Rancho" w:date="2023-12-18T14:13:27Z">
        <w:r>
          <w:rPr>
            <w:rFonts w:hint="eastAsia" w:ascii="楷体_GB2312" w:hAnsi="楷体_GB2312" w:eastAsia="楷体_GB2312" w:cs="楷体_GB2312"/>
            <w:sz w:val="32"/>
            <w:szCs w:val="32"/>
          </w:rPr>
          <w:delText>、交通运输局、</w:delText>
        </w:r>
      </w:del>
      <w:del w:id="169" w:author="Rancho" w:date="2023-12-18T14:13:27Z">
        <w:r>
          <w:rPr>
            <w:rFonts w:hint="eastAsia" w:ascii="楷体_GB2312" w:hAnsi="楷体_GB2312" w:eastAsia="楷体_GB2312" w:cs="楷体_GB2312"/>
            <w:sz w:val="32"/>
            <w:szCs w:val="32"/>
            <w:lang w:eastAsia="zh-CN"/>
          </w:rPr>
          <w:delText>农业农村局</w:delText>
        </w:r>
      </w:del>
      <w:del w:id="170" w:author="Rancho" w:date="2023-12-18T14:13:27Z">
        <w:r>
          <w:rPr>
            <w:rFonts w:hint="eastAsia" w:ascii="楷体_GB2312" w:hAnsi="楷体_GB2312" w:eastAsia="楷体_GB2312" w:cs="楷体_GB2312"/>
            <w:sz w:val="32"/>
            <w:szCs w:val="32"/>
          </w:rPr>
          <w:delText>〕</w:delText>
        </w:r>
      </w:del>
    </w:p>
    <w:p>
      <w:pPr>
        <w:keepNext w:val="0"/>
        <w:keepLines w:val="0"/>
        <w:pageBreakBefore w:val="0"/>
        <w:widowControl w:val="0"/>
        <w:kinsoku/>
        <w:wordWrap/>
        <w:overflowPunct/>
        <w:topLinePunct w:val="0"/>
        <w:autoSpaceDE/>
        <w:autoSpaceDN/>
        <w:bidi w:val="0"/>
        <w:adjustRightInd/>
        <w:snapToGrid/>
        <w:spacing w:line="600" w:lineRule="exact"/>
        <w:ind w:left="5431" w:leftChars="2280" w:hanging="643" w:hangingChars="200"/>
        <w:textAlignment w:val="auto"/>
        <w:outlineLvl w:val="9"/>
        <w:rPr>
          <w:del w:id="172" w:author="Rancho" w:date="2023-12-18T14:13:27Z"/>
          <w:rFonts w:hint="eastAsia" w:ascii="楷体_GB2312" w:hAnsi="楷体_GB2312" w:eastAsia="楷体_GB2312" w:cs="楷体_GB2312"/>
          <w:sz w:val="32"/>
          <w:szCs w:val="32"/>
        </w:rPr>
        <w:pPrChange w:id="171" w:author="Rancho" w:date="2023-12-18T14:12:56Z">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pPr>
        </w:pPrChange>
      </w:pPr>
      <w:del w:id="173" w:author="Rancho" w:date="2023-12-18T14:13:27Z">
        <w:r>
          <w:rPr>
            <w:rFonts w:hint="eastAsia" w:ascii="仿宋_GB2312" w:hAnsi="仿宋_GB2312" w:eastAsia="仿宋_GB2312" w:cs="仿宋_GB2312"/>
            <w:b/>
            <w:bCs/>
            <w:sz w:val="32"/>
            <w:szCs w:val="32"/>
          </w:rPr>
          <w:delText>（</w:delText>
        </w:r>
      </w:del>
      <w:del w:id="174" w:author="Rancho" w:date="2023-12-18T14:13:27Z">
        <w:r>
          <w:rPr>
            <w:rFonts w:hint="eastAsia" w:ascii="仿宋_GB2312" w:hAnsi="仿宋_GB2312" w:eastAsia="仿宋_GB2312" w:cs="仿宋_GB2312"/>
            <w:b/>
            <w:bCs/>
            <w:sz w:val="32"/>
            <w:szCs w:val="32"/>
            <w:lang w:eastAsia="zh-CN"/>
          </w:rPr>
          <w:delText>九</w:delText>
        </w:r>
      </w:del>
      <w:del w:id="175" w:author="Rancho" w:date="2023-12-18T14:13:27Z">
        <w:r>
          <w:rPr>
            <w:rFonts w:hint="eastAsia" w:ascii="仿宋_GB2312" w:hAnsi="仿宋_GB2312" w:eastAsia="仿宋_GB2312" w:cs="仿宋_GB2312"/>
            <w:b/>
            <w:bCs/>
            <w:sz w:val="32"/>
            <w:szCs w:val="32"/>
          </w:rPr>
          <w:delText>）办理破产。</w:delText>
        </w:r>
      </w:del>
      <w:del w:id="176" w:author="Rancho" w:date="2023-12-18T14:13:27Z">
        <w:r>
          <w:rPr>
            <w:rFonts w:hint="eastAsia" w:ascii="仿宋_GB2312" w:hAnsi="仿宋_GB2312" w:eastAsia="仿宋_GB2312" w:cs="仿宋_GB2312"/>
            <w:sz w:val="32"/>
            <w:szCs w:val="32"/>
          </w:rPr>
          <w:delText>进一步加强投融资项目招商平台的规范化建设，提升重整价值识别能力，加大破产重整新融资支持力度。搭建破产案件受理信息自动推送系统，保障管理人依法及时代表债务人参与诉讼并接管债务人财产。压缩收回债务所需时间，破产案件收回债务所需平均时间压缩至1.1年。完善司法重整的府院联动机制，多举措破解破产处置难题。</w:delText>
        </w:r>
      </w:del>
      <w:del w:id="177" w:author="Rancho" w:date="2023-12-18T14:13:27Z">
        <w:r>
          <w:rPr>
            <w:rFonts w:hint="eastAsia" w:ascii="楷体_GB2312" w:hAnsi="楷体_GB2312" w:eastAsia="楷体_GB2312" w:cs="楷体_GB2312"/>
            <w:sz w:val="32"/>
            <w:szCs w:val="32"/>
          </w:rPr>
          <w:delText>〔牵头单位：市中级法院；配合单位：区档案局、</w:delText>
        </w:r>
      </w:del>
      <w:del w:id="178" w:author="Rancho" w:date="2023-12-18T14:13:27Z">
        <w:r>
          <w:rPr>
            <w:rFonts w:hint="eastAsia" w:ascii="楷体_GB2312" w:hAnsi="楷体_GB2312" w:eastAsia="楷体_GB2312" w:cs="楷体_GB2312"/>
            <w:sz w:val="32"/>
            <w:szCs w:val="32"/>
            <w:lang w:eastAsia="zh-CN"/>
          </w:rPr>
          <w:delText>人社局</w:delText>
        </w:r>
      </w:del>
      <w:del w:id="179" w:author="Rancho" w:date="2023-12-18T14:13:27Z">
        <w:r>
          <w:rPr>
            <w:rFonts w:hint="eastAsia" w:ascii="楷体_GB2312" w:hAnsi="楷体_GB2312" w:eastAsia="楷体_GB2312" w:cs="楷体_GB2312"/>
            <w:sz w:val="32"/>
            <w:szCs w:val="32"/>
          </w:rPr>
          <w:delText>、</w:delText>
        </w:r>
      </w:del>
      <w:del w:id="180" w:author="Rancho" w:date="2023-12-18T14:13:27Z">
        <w:r>
          <w:rPr>
            <w:rFonts w:hint="eastAsia" w:ascii="楷体_GB2312" w:hAnsi="楷体_GB2312" w:eastAsia="楷体_GB2312" w:cs="楷体_GB2312"/>
            <w:sz w:val="32"/>
            <w:szCs w:val="32"/>
            <w:lang w:eastAsia="zh-CN"/>
          </w:rPr>
          <w:delText>自然资源局</w:delText>
        </w:r>
      </w:del>
      <w:del w:id="181" w:author="Rancho" w:date="2023-12-18T14:13:27Z">
        <w:r>
          <w:rPr>
            <w:rFonts w:hint="eastAsia" w:ascii="楷体_GB2312" w:hAnsi="楷体_GB2312" w:eastAsia="楷体_GB2312" w:cs="楷体_GB2312"/>
            <w:sz w:val="32"/>
            <w:szCs w:val="32"/>
          </w:rPr>
          <w:delText>、</w:delText>
        </w:r>
      </w:del>
      <w:del w:id="182" w:author="Rancho" w:date="2023-12-18T14:13:27Z">
        <w:r>
          <w:rPr>
            <w:rFonts w:hint="eastAsia" w:ascii="楷体_GB2312" w:hAnsi="楷体_GB2312" w:eastAsia="楷体_GB2312" w:cs="楷体_GB2312"/>
            <w:sz w:val="32"/>
            <w:szCs w:val="32"/>
            <w:lang w:eastAsia="zh-CN"/>
          </w:rPr>
          <w:delText>住建局</w:delText>
        </w:r>
      </w:del>
      <w:del w:id="183" w:author="Rancho" w:date="2023-12-18T14:13:27Z">
        <w:r>
          <w:rPr>
            <w:rFonts w:hint="eastAsia" w:ascii="楷体_GB2312" w:hAnsi="楷体_GB2312" w:eastAsia="楷体_GB2312" w:cs="楷体_GB2312"/>
            <w:sz w:val="32"/>
            <w:szCs w:val="32"/>
          </w:rPr>
          <w:delText>、</w:delText>
        </w:r>
      </w:del>
      <w:del w:id="184" w:author="Rancho" w:date="2023-12-18T14:13:27Z">
        <w:r>
          <w:rPr>
            <w:rFonts w:hint="eastAsia" w:ascii="楷体_GB2312" w:hAnsi="楷体_GB2312" w:eastAsia="楷体_GB2312" w:cs="楷体_GB2312"/>
            <w:sz w:val="32"/>
            <w:szCs w:val="32"/>
            <w:lang w:eastAsia="zh-CN"/>
          </w:rPr>
          <w:delText>投促局</w:delText>
        </w:r>
      </w:del>
      <w:del w:id="185" w:author="Rancho" w:date="2023-12-18T14:13:27Z">
        <w:r>
          <w:rPr>
            <w:rFonts w:hint="eastAsia" w:ascii="楷体_GB2312" w:hAnsi="楷体_GB2312" w:eastAsia="楷体_GB2312" w:cs="楷体_GB2312"/>
            <w:sz w:val="32"/>
            <w:szCs w:val="32"/>
          </w:rPr>
          <w:delText>，</w:delText>
        </w:r>
      </w:del>
      <w:del w:id="186" w:author="Rancho" w:date="2023-12-18T14:13:27Z">
        <w:r>
          <w:rPr>
            <w:rFonts w:hint="eastAsia" w:ascii="楷体_GB2312" w:hAnsi="楷体_GB2312" w:eastAsia="楷体_GB2312" w:cs="楷体_GB2312"/>
            <w:sz w:val="32"/>
            <w:szCs w:val="32"/>
            <w:lang w:eastAsia="zh-CN"/>
          </w:rPr>
          <w:delText>柳北税务局</w:delText>
        </w:r>
      </w:del>
      <w:del w:id="187" w:author="Rancho" w:date="2023-12-18T14:13:27Z">
        <w:r>
          <w:rPr>
            <w:rFonts w:hint="eastAsia" w:ascii="楷体_GB2312" w:hAnsi="楷体_GB2312" w:eastAsia="楷体_GB2312" w:cs="楷体_GB2312"/>
            <w:sz w:val="32"/>
            <w:szCs w:val="32"/>
          </w:rPr>
          <w:delText>〕</w:delText>
        </w:r>
      </w:del>
    </w:p>
    <w:p>
      <w:pPr>
        <w:keepNext w:val="0"/>
        <w:keepLines w:val="0"/>
        <w:pageBreakBefore w:val="0"/>
        <w:widowControl w:val="0"/>
        <w:kinsoku/>
        <w:wordWrap/>
        <w:overflowPunct/>
        <w:topLinePunct w:val="0"/>
        <w:autoSpaceDE/>
        <w:autoSpaceDN/>
        <w:bidi w:val="0"/>
        <w:adjustRightInd/>
        <w:snapToGrid/>
        <w:spacing w:line="600" w:lineRule="exact"/>
        <w:ind w:left="5428" w:leftChars="2280" w:hanging="640" w:hangingChars="200"/>
        <w:textAlignment w:val="auto"/>
        <w:outlineLvl w:val="9"/>
        <w:rPr>
          <w:del w:id="189" w:author="Rancho" w:date="2023-12-18T14:13:27Z"/>
          <w:rFonts w:hint="eastAsia" w:ascii="黑体" w:hAnsi="黑体" w:eastAsia="黑体" w:cs="黑体"/>
          <w:sz w:val="32"/>
          <w:szCs w:val="32"/>
        </w:rPr>
        <w:pPrChange w:id="188" w:author="Rancho" w:date="2023-12-18T14:12:56Z">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pPr>
        </w:pPrChange>
      </w:pPr>
      <w:del w:id="190" w:author="Rancho" w:date="2023-12-18T14:13:27Z">
        <w:r>
          <w:rPr>
            <w:rFonts w:hint="eastAsia" w:ascii="黑体" w:hAnsi="黑体" w:eastAsia="黑体" w:cs="黑体"/>
            <w:sz w:val="32"/>
            <w:szCs w:val="32"/>
          </w:rPr>
          <w:delText>二、强化服务和监管支撑能力，全面提升服务水平</w:delText>
        </w:r>
      </w:del>
    </w:p>
    <w:p>
      <w:pPr>
        <w:keepNext w:val="0"/>
        <w:keepLines w:val="0"/>
        <w:pageBreakBefore w:val="0"/>
        <w:widowControl w:val="0"/>
        <w:kinsoku/>
        <w:wordWrap/>
        <w:overflowPunct/>
        <w:topLinePunct w:val="0"/>
        <w:autoSpaceDE/>
        <w:autoSpaceDN/>
        <w:bidi w:val="0"/>
        <w:adjustRightInd/>
        <w:snapToGrid/>
        <w:spacing w:line="600" w:lineRule="exact"/>
        <w:ind w:left="5431" w:leftChars="2280" w:hanging="643" w:hangingChars="200"/>
        <w:textAlignment w:val="auto"/>
        <w:outlineLvl w:val="9"/>
        <w:rPr>
          <w:del w:id="192" w:author="Rancho" w:date="2023-12-18T14:13:27Z"/>
          <w:rFonts w:hint="eastAsia" w:ascii="楷体_GB2312" w:hAnsi="楷体_GB2312" w:eastAsia="楷体_GB2312" w:cs="楷体_GB2312"/>
          <w:sz w:val="32"/>
          <w:szCs w:val="32"/>
        </w:rPr>
        <w:pPrChange w:id="191" w:author="Rancho" w:date="2023-12-18T14:12:56Z">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pPr>
        </w:pPrChange>
      </w:pPr>
      <w:del w:id="193" w:author="Rancho" w:date="2023-12-18T14:13:27Z">
        <w:r>
          <w:rPr>
            <w:rFonts w:hint="eastAsia" w:ascii="仿宋_GB2312" w:hAnsi="仿宋_GB2312" w:eastAsia="仿宋_GB2312" w:cs="仿宋_GB2312"/>
            <w:b/>
            <w:bCs/>
            <w:sz w:val="32"/>
            <w:szCs w:val="32"/>
          </w:rPr>
          <w:delText>（一）政务服务。</w:delText>
        </w:r>
      </w:del>
      <w:del w:id="194" w:author="Rancho" w:date="2023-12-18T14:13:27Z">
        <w:r>
          <w:rPr>
            <w:rFonts w:hint="eastAsia" w:ascii="仿宋_GB2312" w:hAnsi="仿宋_GB2312" w:eastAsia="仿宋_GB2312" w:cs="仿宋_GB2312"/>
            <w:b w:val="0"/>
            <w:bCs w:val="0"/>
            <w:sz w:val="32"/>
            <w:szCs w:val="32"/>
          </w:rPr>
          <w:delText>进一步提升政务服务大厅服务效能，优化在线帮办服务。</w:delText>
        </w:r>
      </w:del>
      <w:del w:id="195" w:author="Rancho" w:date="2023-12-18T14:13:27Z">
        <w:r>
          <w:rPr>
            <w:rFonts w:hint="eastAsia" w:ascii="仿宋_GB2312" w:hAnsi="仿宋_GB2312" w:eastAsia="仿宋_GB2312" w:cs="仿宋_GB2312"/>
            <w:b w:val="0"/>
            <w:bCs w:val="0"/>
            <w:sz w:val="32"/>
            <w:szCs w:val="32"/>
            <w:lang w:eastAsia="zh-CN"/>
          </w:rPr>
          <w:delText>配合市级部门</w:delText>
        </w:r>
      </w:del>
      <w:del w:id="196" w:author="Rancho" w:date="2023-12-18T14:13:27Z">
        <w:r>
          <w:rPr>
            <w:rFonts w:hint="eastAsia" w:ascii="仿宋_GB2312" w:hAnsi="仿宋_GB2312" w:eastAsia="仿宋_GB2312" w:cs="仿宋_GB2312"/>
            <w:sz w:val="32"/>
            <w:szCs w:val="32"/>
          </w:rPr>
          <w:delText>加快推进桂黔“跨省通办”改革试点工作，建立全域“跨省通办”事项负面清单。</w:delText>
        </w:r>
      </w:del>
      <w:del w:id="197" w:author="Rancho" w:date="2023-12-18T14:13:27Z">
        <w:r>
          <w:rPr>
            <w:rFonts w:hint="eastAsia" w:ascii="仿宋_GB2312" w:hAnsi="仿宋_GB2312" w:eastAsia="仿宋_GB2312" w:cs="仿宋_GB2312"/>
            <w:sz w:val="32"/>
            <w:szCs w:val="32"/>
            <w:lang w:eastAsia="zh-CN"/>
          </w:rPr>
          <w:delText>协助市级部门</w:delText>
        </w:r>
      </w:del>
      <w:del w:id="198" w:author="Rancho" w:date="2023-12-18T14:13:27Z">
        <w:r>
          <w:rPr>
            <w:rFonts w:hint="eastAsia" w:ascii="仿宋_GB2312" w:hAnsi="仿宋_GB2312" w:eastAsia="仿宋_GB2312" w:cs="仿宋_GB2312"/>
            <w:sz w:val="32"/>
            <w:szCs w:val="32"/>
          </w:rPr>
          <w:delText>开展涉企审批服务“一照通行”试点，加强涉企信用信息共享整合，推进政务服务事项清单标准化，实现电子文件在审批部门间共享。简化证明事项，深化拓展证明事项告知承诺制。持续规范中介服务，进一步清理规范没有法律法规、国务院决定依据的行政许可中介服务事项。打造“一照集成”式市场主体专属空间。</w:delText>
        </w:r>
      </w:del>
      <w:del w:id="199" w:author="Rancho" w:date="2023-12-18T14:13:27Z">
        <w:r>
          <w:rPr>
            <w:rFonts w:hint="eastAsia" w:ascii="楷体_GB2312" w:hAnsi="楷体_GB2312" w:eastAsia="楷体_GB2312" w:cs="楷体_GB2312"/>
            <w:sz w:val="32"/>
            <w:szCs w:val="32"/>
          </w:rPr>
          <w:delText>〔牵头单位：区政管办、市场监管局、司法局按职责分工负责；配合单位：各涉企审批事项职能部门〕</w:delText>
        </w:r>
      </w:del>
    </w:p>
    <w:p>
      <w:pPr>
        <w:keepNext w:val="0"/>
        <w:keepLines w:val="0"/>
        <w:pageBreakBefore w:val="0"/>
        <w:widowControl w:val="0"/>
        <w:kinsoku/>
        <w:wordWrap/>
        <w:overflowPunct/>
        <w:topLinePunct w:val="0"/>
        <w:autoSpaceDE/>
        <w:autoSpaceDN/>
        <w:bidi w:val="0"/>
        <w:adjustRightInd/>
        <w:snapToGrid/>
        <w:spacing w:line="600" w:lineRule="exact"/>
        <w:ind w:left="5431" w:leftChars="2280" w:hanging="643" w:hangingChars="200"/>
        <w:textAlignment w:val="auto"/>
        <w:outlineLvl w:val="9"/>
        <w:rPr>
          <w:del w:id="201" w:author="Rancho" w:date="2023-12-18T14:13:27Z"/>
          <w:rFonts w:hint="eastAsia" w:ascii="楷体_GB2312" w:hAnsi="楷体_GB2312" w:eastAsia="楷体_GB2312" w:cs="楷体_GB2312"/>
          <w:sz w:val="32"/>
          <w:szCs w:val="32"/>
        </w:rPr>
        <w:pPrChange w:id="200" w:author="Rancho" w:date="2023-12-18T14:12:56Z">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pPr>
        </w:pPrChange>
      </w:pPr>
      <w:del w:id="202" w:author="Rancho" w:date="2023-12-18T14:13:27Z">
        <w:r>
          <w:rPr>
            <w:rFonts w:hint="eastAsia" w:ascii="仿宋_GB2312" w:hAnsi="仿宋_GB2312" w:eastAsia="仿宋_GB2312" w:cs="仿宋_GB2312"/>
            <w:b/>
            <w:bCs/>
            <w:sz w:val="32"/>
            <w:szCs w:val="32"/>
          </w:rPr>
          <w:delText>（二）惠企政策落实。</w:delText>
        </w:r>
      </w:del>
      <w:del w:id="203" w:author="Rancho" w:date="2023-12-18T14:13:27Z">
        <w:r>
          <w:rPr>
            <w:rFonts w:hint="eastAsia" w:ascii="仿宋_GB2312" w:hAnsi="仿宋_GB2312" w:eastAsia="仿宋_GB2312" w:cs="仿宋_GB2312"/>
            <w:sz w:val="32"/>
            <w:szCs w:val="32"/>
          </w:rPr>
          <w:delText>深化大数据应用，进一步推动惠企政策落实，依托广西数字政务一体化平台，进行“一企一档”分类“画像”，实现惠企政策精准匹配、快速直达、一键兑现。推进政务服务事项向基层延伸，推动市场监管、公安、税务等县级派驻机构事项以及与群众生活密切相关的公共服务事项进驻基层政务服务中心。</w:delText>
        </w:r>
      </w:del>
      <w:del w:id="204" w:author="Rancho" w:date="2023-12-18T14:13:27Z">
        <w:r>
          <w:rPr>
            <w:rFonts w:hint="eastAsia" w:ascii="楷体_GB2312" w:hAnsi="楷体_GB2312" w:eastAsia="楷体_GB2312" w:cs="楷体_GB2312"/>
            <w:sz w:val="32"/>
            <w:szCs w:val="32"/>
          </w:rPr>
          <w:delText>〔牵头单位：</w:delText>
        </w:r>
      </w:del>
      <w:del w:id="205" w:author="Rancho" w:date="2023-12-18T14:13:27Z">
        <w:r>
          <w:rPr>
            <w:rFonts w:hint="eastAsia" w:ascii="楷体_GB2312" w:hAnsi="楷体_GB2312" w:eastAsia="楷体_GB2312" w:cs="楷体_GB2312"/>
            <w:sz w:val="32"/>
            <w:szCs w:val="32"/>
            <w:lang w:eastAsia="zh-CN"/>
          </w:rPr>
          <w:delText>区发改局</w:delText>
        </w:r>
      </w:del>
      <w:del w:id="206" w:author="Rancho" w:date="2023-12-18T14:13:27Z">
        <w:r>
          <w:rPr>
            <w:rFonts w:hint="eastAsia" w:ascii="楷体_GB2312" w:hAnsi="楷体_GB2312" w:eastAsia="楷体_GB2312" w:cs="楷体_GB2312"/>
            <w:sz w:val="32"/>
            <w:szCs w:val="32"/>
          </w:rPr>
          <w:delText>按职责分工负责；配合单位：区</w:delText>
        </w:r>
      </w:del>
      <w:del w:id="207" w:author="Rancho" w:date="2023-12-18T14:13:27Z">
        <w:r>
          <w:rPr>
            <w:rFonts w:hint="eastAsia" w:ascii="楷体_GB2312" w:hAnsi="楷体_GB2312" w:eastAsia="楷体_GB2312" w:cs="楷体_GB2312"/>
            <w:sz w:val="32"/>
            <w:szCs w:val="32"/>
            <w:lang w:eastAsia="zh-CN"/>
          </w:rPr>
          <w:delText>政管办</w:delText>
        </w:r>
      </w:del>
      <w:del w:id="208" w:author="Rancho" w:date="2023-12-18T14:13:27Z">
        <w:r>
          <w:rPr>
            <w:rFonts w:hint="eastAsia" w:ascii="楷体_GB2312" w:hAnsi="楷体_GB2312" w:eastAsia="楷体_GB2312" w:cs="楷体_GB2312"/>
            <w:sz w:val="32"/>
            <w:szCs w:val="32"/>
          </w:rPr>
          <w:delText>、</w:delText>
        </w:r>
      </w:del>
      <w:del w:id="209" w:author="Rancho" w:date="2023-12-18T14:13:27Z">
        <w:r>
          <w:rPr>
            <w:rFonts w:hint="eastAsia" w:ascii="楷体_GB2312" w:hAnsi="楷体_GB2312" w:eastAsia="楷体_GB2312" w:cs="楷体_GB2312"/>
            <w:sz w:val="32"/>
            <w:szCs w:val="32"/>
            <w:lang w:eastAsia="zh-CN"/>
          </w:rPr>
          <w:delText>工信局</w:delText>
        </w:r>
      </w:del>
      <w:del w:id="210" w:author="Rancho" w:date="2023-12-18T14:13:27Z">
        <w:r>
          <w:rPr>
            <w:rFonts w:hint="eastAsia" w:ascii="楷体_GB2312" w:hAnsi="楷体_GB2312" w:eastAsia="楷体_GB2312" w:cs="楷体_GB2312"/>
            <w:sz w:val="32"/>
            <w:szCs w:val="32"/>
          </w:rPr>
          <w:delText>、财政局、</w:delText>
        </w:r>
      </w:del>
      <w:del w:id="211" w:author="Rancho" w:date="2023-12-18T14:13:27Z">
        <w:r>
          <w:rPr>
            <w:rFonts w:hint="eastAsia" w:ascii="楷体_GB2312" w:hAnsi="楷体_GB2312" w:eastAsia="楷体_GB2312" w:cs="楷体_GB2312"/>
            <w:sz w:val="32"/>
            <w:szCs w:val="32"/>
            <w:lang w:eastAsia="zh-CN"/>
          </w:rPr>
          <w:delText>人社局</w:delText>
        </w:r>
      </w:del>
      <w:del w:id="212" w:author="Rancho" w:date="2023-12-18T14:13:27Z">
        <w:r>
          <w:rPr>
            <w:rFonts w:hint="eastAsia" w:ascii="楷体_GB2312" w:hAnsi="楷体_GB2312" w:eastAsia="楷体_GB2312" w:cs="楷体_GB2312"/>
            <w:sz w:val="32"/>
            <w:szCs w:val="32"/>
          </w:rPr>
          <w:delText>、交通运输局、商务局、市场监管局，市公安局柳北分局</w:delText>
        </w:r>
      </w:del>
      <w:del w:id="213" w:author="Rancho" w:date="2023-12-18T14:13:27Z">
        <w:r>
          <w:rPr>
            <w:rFonts w:hint="eastAsia" w:ascii="楷体_GB2312" w:hAnsi="楷体_GB2312" w:eastAsia="楷体_GB2312" w:cs="楷体_GB2312"/>
            <w:sz w:val="32"/>
            <w:szCs w:val="32"/>
            <w:lang w:eastAsia="zh-CN"/>
          </w:rPr>
          <w:delText>，柳北税务局</w:delText>
        </w:r>
      </w:del>
      <w:del w:id="214" w:author="Rancho" w:date="2023-12-18T14:13:27Z">
        <w:r>
          <w:rPr>
            <w:rFonts w:hint="eastAsia" w:ascii="楷体_GB2312" w:hAnsi="楷体_GB2312" w:eastAsia="楷体_GB2312" w:cs="楷体_GB2312"/>
            <w:sz w:val="32"/>
            <w:szCs w:val="32"/>
          </w:rPr>
          <w:delText>〕</w:delText>
        </w:r>
      </w:del>
    </w:p>
    <w:p>
      <w:pPr>
        <w:keepNext w:val="0"/>
        <w:keepLines w:val="0"/>
        <w:pageBreakBefore w:val="0"/>
        <w:widowControl w:val="0"/>
        <w:kinsoku/>
        <w:wordWrap/>
        <w:overflowPunct/>
        <w:topLinePunct w:val="0"/>
        <w:autoSpaceDE/>
        <w:autoSpaceDN/>
        <w:bidi w:val="0"/>
        <w:adjustRightInd/>
        <w:snapToGrid/>
        <w:spacing w:line="600" w:lineRule="exact"/>
        <w:ind w:left="5431" w:leftChars="2280" w:hanging="643" w:hangingChars="200"/>
        <w:textAlignment w:val="auto"/>
        <w:outlineLvl w:val="9"/>
        <w:rPr>
          <w:del w:id="216" w:author="Rancho" w:date="2023-12-18T14:13:27Z"/>
          <w:rFonts w:hint="eastAsia" w:ascii="楷体_GB2312" w:hAnsi="楷体_GB2312" w:eastAsia="楷体_GB2312" w:cs="楷体_GB2312"/>
          <w:sz w:val="32"/>
          <w:szCs w:val="32"/>
        </w:rPr>
        <w:pPrChange w:id="215" w:author="Rancho" w:date="2023-12-18T14:12:56Z">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pPr>
        </w:pPrChange>
      </w:pPr>
      <w:del w:id="217" w:author="Rancho" w:date="2023-12-18T14:13:27Z">
        <w:r>
          <w:rPr>
            <w:rFonts w:hint="eastAsia" w:ascii="仿宋_GB2312" w:hAnsi="仿宋_GB2312" w:eastAsia="仿宋_GB2312" w:cs="仿宋_GB2312"/>
            <w:b/>
            <w:bCs/>
            <w:sz w:val="32"/>
            <w:szCs w:val="32"/>
          </w:rPr>
          <w:delText>（三）知识产权保护和运用。</w:delText>
        </w:r>
      </w:del>
      <w:del w:id="218" w:author="Rancho" w:date="2023-12-18T14:13:27Z">
        <w:r>
          <w:rPr>
            <w:rFonts w:hint="eastAsia" w:ascii="仿宋_GB2312" w:hAnsi="仿宋_GB2312" w:eastAsia="仿宋_GB2312" w:cs="仿宋_GB2312"/>
            <w:sz w:val="32"/>
            <w:szCs w:val="32"/>
          </w:rPr>
          <w:delText>进一步提高知识产权司法保护成效，开展知识产权案件集中管辖试点。强化知识产权代理监管，落实区、区专利代理违法行为监管联动机制。建设知识产权保护社会治理网，开展知识产权维权援助工作站运行情况评估。提高知识产权保护直通车服务覆盖率，2023年全区知识产权保护直通车入库重点企业增长10%。知识产权保护直通车企业库内重点企业服务覆盖率90%（含）以上。推动专利技术转移转化，推进知识产权审判机制改革。</w:delText>
        </w:r>
      </w:del>
      <w:del w:id="219" w:author="Rancho" w:date="2023-12-18T14:13:27Z">
        <w:r>
          <w:rPr>
            <w:rFonts w:hint="eastAsia" w:ascii="楷体_GB2312" w:hAnsi="楷体_GB2312" w:eastAsia="楷体_GB2312" w:cs="楷体_GB2312"/>
            <w:sz w:val="32"/>
            <w:szCs w:val="32"/>
          </w:rPr>
          <w:delText>〔牵头单位：区市场监管局；配合单位：教育局、科技局、</w:delText>
        </w:r>
      </w:del>
      <w:del w:id="220" w:author="Rancho" w:date="2023-12-18T14:13:27Z">
        <w:r>
          <w:rPr>
            <w:rFonts w:hint="eastAsia" w:ascii="楷体_GB2312" w:hAnsi="楷体_GB2312" w:eastAsia="楷体_GB2312" w:cs="楷体_GB2312"/>
            <w:sz w:val="32"/>
            <w:szCs w:val="32"/>
            <w:lang w:eastAsia="zh-CN"/>
          </w:rPr>
          <w:delText>工信局</w:delText>
        </w:r>
      </w:del>
      <w:del w:id="221" w:author="Rancho" w:date="2023-12-18T14:13:27Z">
        <w:r>
          <w:rPr>
            <w:rFonts w:hint="eastAsia" w:ascii="楷体_GB2312" w:hAnsi="楷体_GB2312" w:eastAsia="楷体_GB2312" w:cs="楷体_GB2312"/>
            <w:sz w:val="32"/>
            <w:szCs w:val="32"/>
          </w:rPr>
          <w:delText>、司法局</w:delText>
        </w:r>
      </w:del>
      <w:del w:id="222" w:author="Rancho" w:date="2023-12-18T14:13:27Z">
        <w:r>
          <w:rPr>
            <w:rFonts w:hint="eastAsia" w:ascii="楷体_GB2312" w:hAnsi="楷体_GB2312" w:eastAsia="楷体_GB2312" w:cs="楷体_GB2312"/>
            <w:sz w:val="32"/>
            <w:szCs w:val="32"/>
            <w:lang w:eastAsia="zh-CN"/>
          </w:rPr>
          <w:delText>，</w:delText>
        </w:r>
      </w:del>
      <w:del w:id="223" w:author="Rancho" w:date="2023-12-18T14:13:27Z">
        <w:r>
          <w:rPr>
            <w:rFonts w:hint="eastAsia" w:ascii="楷体_GB2312" w:hAnsi="楷体_GB2312" w:eastAsia="楷体_GB2312" w:cs="楷体_GB2312"/>
            <w:sz w:val="32"/>
            <w:szCs w:val="32"/>
          </w:rPr>
          <w:delText>市公安局柳北分局〕</w:delText>
        </w:r>
      </w:del>
    </w:p>
    <w:p>
      <w:pPr>
        <w:keepNext w:val="0"/>
        <w:keepLines w:val="0"/>
        <w:pageBreakBefore w:val="0"/>
        <w:widowControl w:val="0"/>
        <w:kinsoku/>
        <w:wordWrap/>
        <w:overflowPunct/>
        <w:topLinePunct w:val="0"/>
        <w:autoSpaceDE/>
        <w:autoSpaceDN/>
        <w:bidi w:val="0"/>
        <w:adjustRightInd/>
        <w:snapToGrid/>
        <w:spacing w:line="600" w:lineRule="exact"/>
        <w:ind w:left="5431" w:leftChars="2280" w:hanging="643" w:hangingChars="200"/>
        <w:textAlignment w:val="auto"/>
        <w:outlineLvl w:val="9"/>
        <w:rPr>
          <w:del w:id="225" w:author="Rancho" w:date="2023-12-18T14:13:27Z"/>
          <w:rFonts w:hint="eastAsia" w:ascii="仿宋_GB2312" w:hAnsi="仿宋_GB2312" w:eastAsia="仿宋_GB2312" w:cs="仿宋_GB2312"/>
          <w:sz w:val="32"/>
          <w:szCs w:val="32"/>
        </w:rPr>
        <w:pPrChange w:id="224" w:author="Rancho" w:date="2023-12-18T14:12:56Z">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pPr>
        </w:pPrChange>
      </w:pPr>
      <w:del w:id="226" w:author="Rancho" w:date="2023-12-18T14:13:27Z">
        <w:r>
          <w:rPr>
            <w:rFonts w:hint="eastAsia" w:ascii="仿宋_GB2312" w:hAnsi="仿宋_GB2312" w:eastAsia="仿宋_GB2312" w:cs="仿宋_GB2312"/>
            <w:b/>
            <w:bCs/>
            <w:sz w:val="32"/>
            <w:szCs w:val="32"/>
          </w:rPr>
          <w:delText>（四）精准高效监管。</w:delText>
        </w:r>
      </w:del>
      <w:del w:id="227" w:author="Rancho" w:date="2023-12-18T14:13:27Z">
        <w:r>
          <w:rPr>
            <w:rFonts w:hint="eastAsia" w:ascii="仿宋_GB2312" w:hAnsi="仿宋_GB2312" w:eastAsia="仿宋_GB2312" w:cs="仿宋_GB2312"/>
            <w:sz w:val="32"/>
            <w:szCs w:val="32"/>
          </w:rPr>
          <w:delText>推广使用自治区市场监管局建设的智慧市场监管系统，持续拓展“双随机、一公开”监管部门覆盖面，实行年度抽查事项清单化管理，健全“双随机、一公开”监管相关配套制度和工作机制，构建信息畅通共享渠道。全面推进企业信用风险分类监管，实施差异化管理。建立跨部门协同监管机制，加强数据要素市场社会信用体系建设，完善数据流通交易环节监管措施，促进数据要素市场健康发展。构建全链条、全流程监管体系，提高监管效能。</w:delText>
        </w:r>
      </w:del>
      <w:del w:id="228" w:author="Rancho" w:date="2023-12-18T14:13:27Z">
        <w:r>
          <w:rPr>
            <w:rFonts w:hint="eastAsia" w:ascii="楷体_GB2312" w:hAnsi="楷体_GB2312" w:eastAsia="楷体_GB2312" w:cs="楷体_GB2312"/>
            <w:sz w:val="32"/>
            <w:szCs w:val="32"/>
          </w:rPr>
          <w:delText>〔牵头单位：区市场监管局按职责分工负责；配合单位：区</w:delText>
        </w:r>
      </w:del>
      <w:del w:id="229" w:author="Rancho" w:date="2023-12-18T14:13:27Z">
        <w:r>
          <w:rPr>
            <w:rFonts w:hint="eastAsia" w:ascii="楷体_GB2312" w:hAnsi="楷体_GB2312" w:eastAsia="楷体_GB2312" w:cs="楷体_GB2312"/>
            <w:sz w:val="32"/>
            <w:szCs w:val="32"/>
            <w:lang w:eastAsia="zh-CN"/>
          </w:rPr>
          <w:delText>发改局</w:delText>
        </w:r>
      </w:del>
      <w:del w:id="230" w:author="Rancho" w:date="2023-12-18T14:13:27Z">
        <w:r>
          <w:rPr>
            <w:rFonts w:hint="eastAsia" w:ascii="楷体_GB2312" w:hAnsi="楷体_GB2312" w:eastAsia="楷体_GB2312" w:cs="楷体_GB2312"/>
            <w:sz w:val="32"/>
            <w:szCs w:val="32"/>
          </w:rPr>
          <w:delText>、科技局、</w:delText>
        </w:r>
      </w:del>
      <w:del w:id="231" w:author="Rancho" w:date="2023-12-18T14:13:27Z">
        <w:r>
          <w:rPr>
            <w:rFonts w:hint="eastAsia" w:ascii="楷体_GB2312" w:hAnsi="楷体_GB2312" w:eastAsia="楷体_GB2312" w:cs="楷体_GB2312"/>
            <w:sz w:val="32"/>
            <w:szCs w:val="32"/>
            <w:lang w:eastAsia="zh-CN"/>
          </w:rPr>
          <w:delText>工信局</w:delText>
        </w:r>
      </w:del>
      <w:del w:id="232" w:author="Rancho" w:date="2023-12-18T14:13:27Z">
        <w:r>
          <w:rPr>
            <w:rFonts w:hint="eastAsia" w:ascii="楷体_GB2312" w:hAnsi="楷体_GB2312" w:eastAsia="楷体_GB2312" w:cs="楷体_GB2312"/>
            <w:sz w:val="32"/>
            <w:szCs w:val="32"/>
          </w:rPr>
          <w:delText>、司法局</w:delText>
        </w:r>
      </w:del>
      <w:del w:id="233" w:author="Rancho" w:date="2023-12-18T14:13:27Z">
        <w:r>
          <w:rPr>
            <w:rFonts w:hint="eastAsia" w:ascii="楷体_GB2312" w:hAnsi="楷体_GB2312" w:eastAsia="楷体_GB2312" w:cs="楷体_GB2312"/>
            <w:sz w:val="32"/>
            <w:szCs w:val="32"/>
            <w:lang w:eastAsia="zh-CN"/>
          </w:rPr>
          <w:delText>，</w:delText>
        </w:r>
      </w:del>
      <w:del w:id="234" w:author="Rancho" w:date="2023-12-18T14:13:27Z">
        <w:r>
          <w:rPr>
            <w:rFonts w:hint="eastAsia" w:ascii="楷体_GB2312" w:hAnsi="楷体_GB2312" w:eastAsia="楷体_GB2312" w:cs="楷体_GB2312"/>
            <w:sz w:val="32"/>
            <w:szCs w:val="32"/>
          </w:rPr>
          <w:delText>市公安局柳北分局〕</w:delText>
        </w:r>
      </w:del>
    </w:p>
    <w:p>
      <w:pPr>
        <w:keepNext w:val="0"/>
        <w:keepLines w:val="0"/>
        <w:pageBreakBefore w:val="0"/>
        <w:widowControl w:val="0"/>
        <w:kinsoku/>
        <w:wordWrap/>
        <w:overflowPunct/>
        <w:topLinePunct w:val="0"/>
        <w:autoSpaceDE/>
        <w:autoSpaceDN/>
        <w:bidi w:val="0"/>
        <w:adjustRightInd/>
        <w:snapToGrid/>
        <w:spacing w:line="600" w:lineRule="exact"/>
        <w:ind w:left="5431" w:leftChars="2280" w:hanging="643" w:hangingChars="200"/>
        <w:textAlignment w:val="auto"/>
        <w:outlineLvl w:val="9"/>
        <w:rPr>
          <w:del w:id="236" w:author="Rancho" w:date="2023-12-18T14:13:27Z"/>
          <w:rFonts w:hint="eastAsia" w:ascii="楷体_GB2312" w:hAnsi="楷体_GB2312" w:eastAsia="楷体_GB2312" w:cs="楷体_GB2312"/>
          <w:sz w:val="32"/>
          <w:szCs w:val="32"/>
        </w:rPr>
        <w:pPrChange w:id="235" w:author="Rancho" w:date="2023-12-18T14:12:56Z">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pPr>
        </w:pPrChange>
      </w:pPr>
      <w:del w:id="237" w:author="Rancho" w:date="2023-12-18T14:13:27Z">
        <w:r>
          <w:rPr>
            <w:rFonts w:hint="eastAsia" w:ascii="仿宋_GB2312" w:hAnsi="仿宋_GB2312" w:eastAsia="仿宋_GB2312" w:cs="仿宋_GB2312"/>
            <w:b/>
            <w:bCs/>
            <w:sz w:val="32"/>
            <w:szCs w:val="32"/>
          </w:rPr>
          <w:delText>（五）规范监管执法。</w:delText>
        </w:r>
      </w:del>
      <w:del w:id="238" w:author="Rancho" w:date="2023-12-18T14:13:27Z">
        <w:r>
          <w:rPr>
            <w:rFonts w:hint="eastAsia" w:ascii="仿宋_GB2312" w:hAnsi="仿宋_GB2312" w:eastAsia="仿宋_GB2312" w:cs="仿宋_GB2312"/>
            <w:sz w:val="32"/>
            <w:szCs w:val="32"/>
          </w:rPr>
          <w:delText>全面提升监管透明度，健全清理拖欠账款长效机制，强化专项行动效果评估，进一步做好防范和化解拖欠中小企业账款工作。建立企业信用状况综合评价体系，探索柔性监管方式，梳理跨部门综合监管事项清单，推进跨部门综合监管。将全区各级各部门在招商引资中依法依规出台的优惠政策以及兑现承诺、履行合同协议、履行生效裁判所确定债务等情况作为政务诚信重要考核依据，并纳入绩效考评。</w:delText>
        </w:r>
      </w:del>
      <w:del w:id="239" w:author="Rancho" w:date="2023-12-18T14:13:27Z">
        <w:r>
          <w:rPr>
            <w:rFonts w:hint="eastAsia" w:ascii="楷体_GB2312" w:hAnsi="楷体_GB2312" w:eastAsia="楷体_GB2312" w:cs="楷体_GB2312"/>
            <w:sz w:val="32"/>
            <w:szCs w:val="32"/>
          </w:rPr>
          <w:delText>〔牵头单位：区市场监管局；配合单位：</w:delText>
        </w:r>
      </w:del>
      <w:del w:id="240" w:author="Rancho" w:date="2023-12-18T14:13:27Z">
        <w:r>
          <w:rPr>
            <w:rFonts w:hint="eastAsia" w:ascii="楷体_GB2312" w:hAnsi="楷体_GB2312" w:eastAsia="楷体_GB2312" w:cs="楷体_GB2312"/>
            <w:sz w:val="32"/>
            <w:szCs w:val="32"/>
            <w:lang w:eastAsia="zh-CN"/>
          </w:rPr>
          <w:delText>区人民</w:delText>
        </w:r>
      </w:del>
      <w:del w:id="241" w:author="Rancho" w:date="2023-12-18T14:13:27Z">
        <w:r>
          <w:rPr>
            <w:rFonts w:hint="eastAsia" w:ascii="楷体_GB2312" w:hAnsi="楷体_GB2312" w:eastAsia="楷体_GB2312" w:cs="楷体_GB2312"/>
            <w:sz w:val="32"/>
            <w:szCs w:val="32"/>
          </w:rPr>
          <w:delText>法院、</w:delText>
        </w:r>
      </w:del>
      <w:del w:id="242" w:author="Rancho" w:date="2023-12-18T14:13:27Z">
        <w:r>
          <w:rPr>
            <w:rFonts w:hint="eastAsia" w:ascii="楷体_GB2312" w:hAnsi="楷体_GB2312" w:eastAsia="楷体_GB2312" w:cs="楷体_GB2312"/>
            <w:sz w:val="32"/>
            <w:szCs w:val="32"/>
            <w:lang w:eastAsia="zh-CN"/>
          </w:rPr>
          <w:delText>发改局、工信局</w:delText>
        </w:r>
      </w:del>
      <w:del w:id="243" w:author="Rancho" w:date="2023-12-18T14:13:27Z">
        <w:r>
          <w:rPr>
            <w:rFonts w:hint="eastAsia" w:ascii="楷体_GB2312" w:hAnsi="楷体_GB2312" w:eastAsia="楷体_GB2312" w:cs="楷体_GB2312"/>
            <w:sz w:val="32"/>
            <w:szCs w:val="32"/>
          </w:rPr>
          <w:delText>、财政局、</w:delText>
        </w:r>
      </w:del>
      <w:del w:id="244" w:author="Rancho" w:date="2023-12-18T14:13:27Z">
        <w:r>
          <w:rPr>
            <w:rFonts w:hint="eastAsia" w:ascii="楷体_GB2312" w:hAnsi="楷体_GB2312" w:eastAsia="楷体_GB2312" w:cs="楷体_GB2312"/>
            <w:sz w:val="32"/>
            <w:szCs w:val="32"/>
            <w:lang w:eastAsia="zh-CN"/>
          </w:rPr>
          <w:delText>自然资源局</w:delText>
        </w:r>
      </w:del>
      <w:del w:id="245" w:author="Rancho" w:date="2023-12-18T14:13:27Z">
        <w:r>
          <w:rPr>
            <w:rFonts w:hint="eastAsia" w:ascii="楷体_GB2312" w:hAnsi="楷体_GB2312" w:eastAsia="楷体_GB2312" w:cs="楷体_GB2312"/>
            <w:sz w:val="32"/>
            <w:szCs w:val="32"/>
          </w:rPr>
          <w:delText>、</w:delText>
        </w:r>
      </w:del>
      <w:del w:id="246" w:author="Rancho" w:date="2023-12-18T14:13:27Z">
        <w:r>
          <w:rPr>
            <w:rFonts w:hint="eastAsia" w:ascii="楷体_GB2312" w:hAnsi="楷体_GB2312" w:eastAsia="楷体_GB2312" w:cs="楷体_GB2312"/>
            <w:sz w:val="32"/>
            <w:szCs w:val="32"/>
            <w:lang w:eastAsia="zh-CN"/>
          </w:rPr>
          <w:delText>住建局</w:delText>
        </w:r>
      </w:del>
      <w:del w:id="247" w:author="Rancho" w:date="2023-12-18T14:13:27Z">
        <w:r>
          <w:rPr>
            <w:rFonts w:hint="eastAsia" w:ascii="楷体_GB2312" w:hAnsi="楷体_GB2312" w:eastAsia="楷体_GB2312" w:cs="楷体_GB2312"/>
            <w:sz w:val="32"/>
            <w:szCs w:val="32"/>
          </w:rPr>
          <w:delText>、商务局〕</w:delText>
        </w:r>
      </w:del>
    </w:p>
    <w:p>
      <w:pPr>
        <w:keepNext w:val="0"/>
        <w:keepLines w:val="0"/>
        <w:pageBreakBefore w:val="0"/>
        <w:widowControl w:val="0"/>
        <w:kinsoku/>
        <w:wordWrap/>
        <w:overflowPunct/>
        <w:topLinePunct w:val="0"/>
        <w:autoSpaceDE/>
        <w:autoSpaceDN/>
        <w:bidi w:val="0"/>
        <w:adjustRightInd/>
        <w:snapToGrid/>
        <w:spacing w:line="600" w:lineRule="exact"/>
        <w:ind w:left="5431" w:leftChars="2280" w:hanging="643" w:hangingChars="200"/>
        <w:textAlignment w:val="auto"/>
        <w:outlineLvl w:val="9"/>
        <w:rPr>
          <w:del w:id="249" w:author="Rancho" w:date="2023-12-18T14:13:27Z"/>
          <w:rFonts w:hint="eastAsia" w:ascii="楷体_GB2312" w:hAnsi="楷体_GB2312" w:eastAsia="楷体_GB2312" w:cs="楷体_GB2312"/>
          <w:sz w:val="32"/>
          <w:szCs w:val="32"/>
        </w:rPr>
        <w:pPrChange w:id="248" w:author="Rancho" w:date="2023-12-18T14:12:56Z">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pPr>
        </w:pPrChange>
      </w:pPr>
      <w:del w:id="250" w:author="Rancho" w:date="2023-12-18T14:13:27Z">
        <w:r>
          <w:rPr>
            <w:rFonts w:hint="eastAsia" w:ascii="仿宋_GB2312" w:hAnsi="仿宋_GB2312" w:eastAsia="仿宋_GB2312" w:cs="仿宋_GB2312"/>
            <w:b/>
            <w:bCs/>
            <w:sz w:val="32"/>
            <w:szCs w:val="32"/>
          </w:rPr>
          <w:delText>（六）包容普惠创新。</w:delText>
        </w:r>
      </w:del>
      <w:del w:id="251" w:author="Rancho" w:date="2023-12-18T14:13:27Z">
        <w:r>
          <w:rPr>
            <w:rFonts w:hint="eastAsia" w:ascii="仿宋_GB2312" w:hAnsi="仿宋_GB2312" w:eastAsia="仿宋_GB2312" w:cs="仿宋_GB2312"/>
            <w:sz w:val="32"/>
            <w:szCs w:val="32"/>
          </w:rPr>
          <w:delText>巩固提高学前教育、义务教育、高中阶段教育普及水平。继续提升基本医疗保险参保率，加强卫生人才队伍建设，</w:delText>
        </w:r>
      </w:del>
      <w:del w:id="252" w:author="Rancho" w:date="2023-12-18T14:13:27Z">
        <w:r>
          <w:rPr>
            <w:rFonts w:hint="eastAsia" w:ascii="仿宋_GB2312" w:hAnsi="仿宋_GB2312" w:eastAsia="仿宋_GB2312" w:cs="仿宋_GB2312"/>
            <w:sz w:val="32"/>
            <w:szCs w:val="32"/>
            <w:lang w:eastAsia="zh-CN"/>
          </w:rPr>
          <w:delText>配合市级</w:delText>
        </w:r>
      </w:del>
      <w:del w:id="253" w:author="Rancho" w:date="2023-12-18T14:13:27Z">
        <w:r>
          <w:rPr>
            <w:rFonts w:hint="eastAsia" w:ascii="仿宋_GB2312" w:hAnsi="仿宋_GB2312" w:eastAsia="仿宋_GB2312" w:cs="仿宋_GB2312"/>
            <w:sz w:val="32"/>
            <w:szCs w:val="32"/>
          </w:rPr>
          <w:delText>完成每千人口医疗卫生机构床位数年度增长1.5%、每千人口拥有执业（助理）医师数及每千人口注册护士数年度均增长1%的任务。提升异地就医便利度，扩大全区门诊特殊慢性病跨省联网定点医疗机构覆盖范围。提升基本公共服务水平，加强公共文化服务供给。提高综合交通服务能力，提升交通便捷程度。持续加强生态环境保护，稳步提升城市生活污水集中收集率达65%。</w:delText>
        </w:r>
      </w:del>
      <w:del w:id="254" w:author="Rancho" w:date="2023-12-18T14:13:27Z">
        <w:r>
          <w:rPr>
            <w:rFonts w:hint="eastAsia" w:ascii="楷体_GB2312" w:hAnsi="楷体_GB2312" w:eastAsia="楷体_GB2312" w:cs="楷体_GB2312"/>
            <w:sz w:val="32"/>
            <w:szCs w:val="32"/>
          </w:rPr>
          <w:delText>〔牵头单位：区教育局、民政局、</w:delText>
        </w:r>
      </w:del>
      <w:del w:id="255" w:author="Rancho" w:date="2023-12-18T14:13:27Z">
        <w:r>
          <w:rPr>
            <w:rFonts w:hint="eastAsia" w:ascii="楷体_GB2312" w:hAnsi="楷体_GB2312" w:eastAsia="楷体_GB2312" w:cs="楷体_GB2312"/>
            <w:sz w:val="32"/>
            <w:szCs w:val="32"/>
            <w:lang w:eastAsia="zh-CN"/>
          </w:rPr>
          <w:delText>人社局</w:delText>
        </w:r>
      </w:del>
      <w:del w:id="256" w:author="Rancho" w:date="2023-12-18T14:13:27Z">
        <w:r>
          <w:rPr>
            <w:rFonts w:hint="eastAsia" w:ascii="楷体_GB2312" w:hAnsi="楷体_GB2312" w:eastAsia="楷体_GB2312" w:cs="楷体_GB2312"/>
            <w:sz w:val="32"/>
            <w:szCs w:val="32"/>
          </w:rPr>
          <w:delText>、</w:delText>
        </w:r>
      </w:del>
      <w:del w:id="257" w:author="Rancho" w:date="2023-12-18T14:13:27Z">
        <w:r>
          <w:rPr>
            <w:rFonts w:hint="eastAsia" w:ascii="楷体_GB2312" w:hAnsi="楷体_GB2312" w:eastAsia="楷体_GB2312" w:cs="楷体_GB2312"/>
            <w:sz w:val="32"/>
            <w:szCs w:val="32"/>
            <w:lang w:eastAsia="zh-CN"/>
          </w:rPr>
          <w:delText>柳北生态环境局</w:delText>
        </w:r>
      </w:del>
      <w:del w:id="258" w:author="Rancho" w:date="2023-12-18T14:13:27Z">
        <w:r>
          <w:rPr>
            <w:rFonts w:hint="eastAsia" w:ascii="楷体_GB2312" w:hAnsi="楷体_GB2312" w:eastAsia="楷体_GB2312" w:cs="楷体_GB2312"/>
            <w:sz w:val="32"/>
            <w:szCs w:val="32"/>
          </w:rPr>
          <w:delText>、</w:delText>
        </w:r>
      </w:del>
      <w:del w:id="259" w:author="Rancho" w:date="2023-12-18T14:13:27Z">
        <w:r>
          <w:rPr>
            <w:rFonts w:hint="eastAsia" w:ascii="楷体_GB2312" w:hAnsi="楷体_GB2312" w:eastAsia="楷体_GB2312" w:cs="楷体_GB2312"/>
            <w:sz w:val="32"/>
            <w:szCs w:val="32"/>
            <w:lang w:eastAsia="zh-CN"/>
          </w:rPr>
          <w:delText>住建局</w:delText>
        </w:r>
      </w:del>
      <w:del w:id="260" w:author="Rancho" w:date="2023-12-18T14:13:27Z">
        <w:r>
          <w:rPr>
            <w:rFonts w:hint="eastAsia" w:ascii="楷体_GB2312" w:hAnsi="楷体_GB2312" w:eastAsia="楷体_GB2312" w:cs="楷体_GB2312"/>
            <w:sz w:val="32"/>
            <w:szCs w:val="32"/>
          </w:rPr>
          <w:delText>、</w:delText>
        </w:r>
      </w:del>
      <w:del w:id="261" w:author="Rancho" w:date="2023-12-18T14:13:27Z">
        <w:r>
          <w:rPr>
            <w:rFonts w:hint="eastAsia" w:ascii="楷体_GB2312" w:hAnsi="楷体_GB2312" w:eastAsia="楷体_GB2312" w:cs="楷体_GB2312"/>
            <w:sz w:val="32"/>
            <w:szCs w:val="32"/>
            <w:lang w:eastAsia="zh-CN"/>
          </w:rPr>
          <w:delText>文体广旅局</w:delText>
        </w:r>
      </w:del>
      <w:del w:id="262" w:author="Rancho" w:date="2023-12-18T14:13:27Z">
        <w:r>
          <w:rPr>
            <w:rFonts w:hint="eastAsia" w:ascii="楷体_GB2312" w:hAnsi="楷体_GB2312" w:eastAsia="楷体_GB2312" w:cs="楷体_GB2312"/>
            <w:sz w:val="32"/>
            <w:szCs w:val="32"/>
          </w:rPr>
          <w:delText>、</w:delText>
        </w:r>
      </w:del>
      <w:del w:id="263" w:author="Rancho" w:date="2023-12-18T14:13:27Z">
        <w:r>
          <w:rPr>
            <w:rFonts w:hint="eastAsia" w:ascii="楷体_GB2312" w:hAnsi="楷体_GB2312" w:eastAsia="楷体_GB2312" w:cs="楷体_GB2312"/>
            <w:sz w:val="32"/>
            <w:szCs w:val="32"/>
            <w:lang w:eastAsia="zh-CN"/>
          </w:rPr>
          <w:delText>卫健局</w:delText>
        </w:r>
      </w:del>
      <w:del w:id="264" w:author="Rancho" w:date="2023-12-18T14:13:27Z">
        <w:r>
          <w:rPr>
            <w:rFonts w:hint="eastAsia" w:ascii="楷体_GB2312" w:hAnsi="楷体_GB2312" w:eastAsia="楷体_GB2312" w:cs="楷体_GB2312"/>
            <w:sz w:val="32"/>
            <w:szCs w:val="32"/>
          </w:rPr>
          <w:delText>、医保局按职责分工负责〕</w:delText>
        </w:r>
      </w:del>
    </w:p>
    <w:p>
      <w:pPr>
        <w:keepNext w:val="0"/>
        <w:keepLines w:val="0"/>
        <w:pageBreakBefore w:val="0"/>
        <w:widowControl w:val="0"/>
        <w:kinsoku/>
        <w:wordWrap/>
        <w:overflowPunct/>
        <w:topLinePunct w:val="0"/>
        <w:autoSpaceDE/>
        <w:autoSpaceDN/>
        <w:bidi w:val="0"/>
        <w:adjustRightInd/>
        <w:snapToGrid/>
        <w:spacing w:line="600" w:lineRule="exact"/>
        <w:ind w:left="5431" w:leftChars="2280" w:hanging="643" w:hangingChars="200"/>
        <w:textAlignment w:val="auto"/>
        <w:outlineLvl w:val="9"/>
        <w:rPr>
          <w:del w:id="266" w:author="Rancho" w:date="2023-12-18T14:13:27Z"/>
          <w:rFonts w:hint="eastAsia" w:ascii="楷体_GB2312" w:hAnsi="楷体_GB2312" w:eastAsia="楷体_GB2312" w:cs="楷体_GB2312"/>
          <w:sz w:val="32"/>
          <w:szCs w:val="32"/>
        </w:rPr>
        <w:pPrChange w:id="265" w:author="Rancho" w:date="2023-12-18T14:12:56Z">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pPr>
        </w:pPrChange>
      </w:pPr>
      <w:del w:id="267" w:author="Rancho" w:date="2023-12-18T14:13:27Z">
        <w:r>
          <w:rPr>
            <w:rFonts w:hint="eastAsia" w:ascii="仿宋_GB2312" w:hAnsi="仿宋_GB2312" w:eastAsia="仿宋_GB2312" w:cs="仿宋_GB2312"/>
            <w:b/>
            <w:bCs/>
            <w:sz w:val="32"/>
            <w:szCs w:val="32"/>
          </w:rPr>
          <w:delText>（七）推动优化营商环境专项监督。</w:delText>
        </w:r>
      </w:del>
      <w:del w:id="268" w:author="Rancho" w:date="2023-12-18T14:13:27Z">
        <w:r>
          <w:rPr>
            <w:rFonts w:hint="eastAsia" w:ascii="仿宋_GB2312" w:hAnsi="仿宋_GB2312" w:eastAsia="仿宋_GB2312" w:cs="仿宋_GB2312"/>
            <w:sz w:val="32"/>
            <w:szCs w:val="32"/>
          </w:rPr>
          <w:delText>紧盯重点对象，深入开展领导干部利用职权或影响力插手工程项目谋私贪腐问题专项整治工作，抓住关键环节，盯住决策审批、招标投标、建设管理、质量监理、预算结算、竣工验收和物资采购等重要环节，瞄准“八种情形”深入抓、持续治，健全权力运行制约和监督机制，铲除腐败滋生的土壤和条件，推动建设优质工程、绿色工程、廉洁工程，营造重实效、强实干、抓落实浓厚氛围。〔</w:delText>
        </w:r>
      </w:del>
      <w:del w:id="269" w:author="Rancho" w:date="2023-12-18T14:13:27Z">
        <w:r>
          <w:rPr>
            <w:rFonts w:hint="eastAsia" w:ascii="楷体_GB2312" w:hAnsi="楷体_GB2312" w:eastAsia="楷体_GB2312" w:cs="楷体_GB2312"/>
            <w:sz w:val="32"/>
            <w:szCs w:val="32"/>
          </w:rPr>
          <w:delText>牵头单位：区纪委监委机关，区人民法院，人民检察院按职责分工负责；配合单位：市公安局柳北分局、财政局、审计局〕</w:delText>
        </w:r>
      </w:del>
    </w:p>
    <w:p>
      <w:pPr>
        <w:keepNext w:val="0"/>
        <w:keepLines w:val="0"/>
        <w:pageBreakBefore w:val="0"/>
        <w:widowControl w:val="0"/>
        <w:kinsoku/>
        <w:wordWrap/>
        <w:overflowPunct/>
        <w:topLinePunct w:val="0"/>
        <w:autoSpaceDE/>
        <w:autoSpaceDN/>
        <w:bidi w:val="0"/>
        <w:adjustRightInd/>
        <w:snapToGrid/>
        <w:spacing w:line="600" w:lineRule="exact"/>
        <w:ind w:left="5428" w:leftChars="2280" w:hanging="640" w:hangingChars="200"/>
        <w:textAlignment w:val="auto"/>
        <w:outlineLvl w:val="9"/>
        <w:rPr>
          <w:del w:id="271" w:author="Rancho" w:date="2023-12-18T14:13:27Z"/>
          <w:rFonts w:hint="eastAsia" w:ascii="黑体" w:hAnsi="黑体" w:eastAsia="黑体" w:cs="黑体"/>
          <w:sz w:val="32"/>
          <w:szCs w:val="32"/>
        </w:rPr>
        <w:pPrChange w:id="270" w:author="Rancho" w:date="2023-12-18T14:12:56Z">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pPr>
        </w:pPrChange>
      </w:pPr>
      <w:del w:id="272" w:author="Rancho" w:date="2023-12-18T14:13:27Z">
        <w:r>
          <w:rPr>
            <w:rFonts w:hint="eastAsia" w:ascii="黑体" w:hAnsi="黑体" w:eastAsia="黑体" w:cs="黑体"/>
            <w:sz w:val="32"/>
            <w:szCs w:val="32"/>
          </w:rPr>
          <w:delText>三、保障措施</w:delText>
        </w:r>
      </w:del>
    </w:p>
    <w:p>
      <w:pPr>
        <w:keepNext w:val="0"/>
        <w:keepLines w:val="0"/>
        <w:pageBreakBefore w:val="0"/>
        <w:widowControl w:val="0"/>
        <w:kinsoku/>
        <w:wordWrap/>
        <w:overflowPunct/>
        <w:topLinePunct w:val="0"/>
        <w:autoSpaceDE/>
        <w:autoSpaceDN/>
        <w:bidi w:val="0"/>
        <w:adjustRightInd/>
        <w:snapToGrid/>
        <w:spacing w:line="600" w:lineRule="exact"/>
        <w:ind w:left="5431" w:leftChars="2280" w:hanging="643" w:hangingChars="200"/>
        <w:textAlignment w:val="auto"/>
        <w:outlineLvl w:val="9"/>
        <w:rPr>
          <w:del w:id="274" w:author="Rancho" w:date="2023-12-18T14:13:27Z"/>
          <w:rFonts w:hint="eastAsia" w:ascii="楷体_GB2312" w:hAnsi="楷体_GB2312" w:eastAsia="楷体_GB2312" w:cs="楷体_GB2312"/>
          <w:sz w:val="32"/>
          <w:szCs w:val="32"/>
        </w:rPr>
        <w:pPrChange w:id="273" w:author="Rancho" w:date="2023-12-18T14:12:56Z">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pPr>
        </w:pPrChange>
      </w:pPr>
      <w:del w:id="275" w:author="Rancho" w:date="2023-12-18T14:13:27Z">
        <w:r>
          <w:rPr>
            <w:rFonts w:hint="eastAsia" w:ascii="仿宋_GB2312" w:hAnsi="仿宋_GB2312" w:eastAsia="仿宋_GB2312" w:cs="仿宋_GB2312"/>
            <w:b/>
            <w:bCs/>
            <w:sz w:val="32"/>
            <w:szCs w:val="32"/>
          </w:rPr>
          <w:delText>（一）强化组织保障。</w:delText>
        </w:r>
      </w:del>
      <w:del w:id="276" w:author="Rancho" w:date="2023-12-18T14:13:27Z">
        <w:r>
          <w:rPr>
            <w:rFonts w:hint="eastAsia" w:ascii="仿宋_GB2312" w:hAnsi="仿宋_GB2312" w:eastAsia="仿宋_GB2312" w:cs="仿宋_GB2312"/>
            <w:sz w:val="32"/>
            <w:szCs w:val="32"/>
          </w:rPr>
          <w:delText>各级各单位要进一步提高优化营商环境的政治站位，强化责任担当，自觉把优化营商环境工作放到柳州市加快建设现代制造城、打造万亿工业强市和广西副中心城市的大局中去部署和落实。进一步完善市、县（区）两级优化营商环境工作推进机制，形成领导小组统筹协调、各单位分工牵头、各有关部门协同推进的工作格局。柳北区人民政府及各有关单位要主动承担主体责任，认真执行本要点任务，明确责任分工和时间安排，切实履行职责。各指标牵头单位要负责做好相关指标的组织实施，确保改革措施落地见效，惠企政策精准落实，为企业和群众提供更加优质高效的服务。</w:delText>
        </w:r>
      </w:del>
      <w:del w:id="277" w:author="Rancho" w:date="2023-12-18T14:13:27Z">
        <w:r>
          <w:rPr>
            <w:rFonts w:hint="eastAsia" w:ascii="楷体_GB2312" w:hAnsi="楷体_GB2312" w:eastAsia="楷体_GB2312" w:cs="楷体_GB2312"/>
            <w:sz w:val="32"/>
            <w:szCs w:val="32"/>
          </w:rPr>
          <w:delText>〔牵头单位：区</w:delText>
        </w:r>
      </w:del>
      <w:del w:id="278" w:author="Rancho" w:date="2023-12-18T14:13:27Z">
        <w:r>
          <w:rPr>
            <w:rFonts w:hint="eastAsia" w:ascii="楷体_GB2312" w:hAnsi="楷体_GB2312" w:eastAsia="楷体_GB2312" w:cs="楷体_GB2312"/>
            <w:sz w:val="32"/>
            <w:szCs w:val="32"/>
            <w:lang w:eastAsia="zh-CN"/>
          </w:rPr>
          <w:delText>发改局</w:delText>
        </w:r>
      </w:del>
      <w:del w:id="279" w:author="Rancho" w:date="2023-12-18T14:13:27Z">
        <w:r>
          <w:rPr>
            <w:rFonts w:hint="eastAsia" w:ascii="楷体_GB2312" w:hAnsi="楷体_GB2312" w:eastAsia="楷体_GB2312" w:cs="楷体_GB2312"/>
            <w:sz w:val="32"/>
            <w:szCs w:val="32"/>
          </w:rPr>
          <w:delText>；配合单位：区优化营商环境工作领导小组其他成员单位〕</w:delText>
        </w:r>
      </w:del>
    </w:p>
    <w:p>
      <w:pPr>
        <w:keepNext w:val="0"/>
        <w:keepLines w:val="0"/>
        <w:pageBreakBefore w:val="0"/>
        <w:widowControl w:val="0"/>
        <w:kinsoku/>
        <w:wordWrap/>
        <w:overflowPunct/>
        <w:topLinePunct w:val="0"/>
        <w:autoSpaceDE/>
        <w:autoSpaceDN/>
        <w:bidi w:val="0"/>
        <w:adjustRightInd/>
        <w:snapToGrid/>
        <w:spacing w:line="600" w:lineRule="exact"/>
        <w:ind w:left="5431" w:leftChars="2280" w:hanging="643" w:hangingChars="200"/>
        <w:textAlignment w:val="auto"/>
        <w:outlineLvl w:val="9"/>
        <w:rPr>
          <w:del w:id="281" w:author="Rancho" w:date="2023-12-18T14:13:27Z"/>
          <w:rFonts w:hint="eastAsia" w:ascii="楷体_GB2312" w:hAnsi="楷体_GB2312" w:eastAsia="楷体_GB2312" w:cs="楷体_GB2312"/>
          <w:sz w:val="32"/>
          <w:szCs w:val="32"/>
        </w:rPr>
        <w:pPrChange w:id="280" w:author="Rancho" w:date="2023-12-18T14:12:56Z">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pPr>
        </w:pPrChange>
      </w:pPr>
      <w:del w:id="282" w:author="Rancho" w:date="2023-12-18T14:13:27Z">
        <w:r>
          <w:rPr>
            <w:rFonts w:hint="eastAsia" w:ascii="仿宋_GB2312" w:hAnsi="仿宋_GB2312" w:eastAsia="仿宋_GB2312" w:cs="仿宋_GB2312"/>
            <w:b/>
            <w:bCs/>
            <w:sz w:val="32"/>
            <w:szCs w:val="32"/>
          </w:rPr>
          <w:delText>（二）加强统筹协调。</w:delText>
        </w:r>
      </w:del>
      <w:del w:id="283" w:author="Rancho" w:date="2023-12-18T14:13:27Z">
        <w:r>
          <w:rPr>
            <w:rFonts w:hint="eastAsia" w:ascii="仿宋_GB2312" w:hAnsi="仿宋_GB2312" w:eastAsia="仿宋_GB2312" w:cs="仿宋_GB2312"/>
            <w:sz w:val="32"/>
            <w:szCs w:val="32"/>
          </w:rPr>
          <w:delText>进一步完善优化营商环境工作机制，充分发挥区优化营商环境工作领导小组办公室统筹协调作用，加强营商环境专班队伍保障，组织全区各级各部门推动年度各项改革任务落地。深入分析纳税、政务服务、获得信贷、政府采购、对外开放、人力资源服务等指标落后原因和存在问题，明确整改任务和具体落实措施。人民政府要贯彻落实全区营商环境工作统一部署，明确年度目标任务，结合实际研提具体落实举措，全力打造经营主体和人民群众满意的一流营商环境。</w:delText>
        </w:r>
      </w:del>
      <w:del w:id="284" w:author="Rancho" w:date="2023-12-18T14:13:27Z">
        <w:r>
          <w:rPr>
            <w:rFonts w:hint="eastAsia" w:ascii="楷体_GB2312" w:hAnsi="楷体_GB2312" w:eastAsia="楷体_GB2312" w:cs="楷体_GB2312"/>
            <w:sz w:val="32"/>
            <w:szCs w:val="32"/>
          </w:rPr>
          <w:delText>〔牵头单位：区</w:delText>
        </w:r>
      </w:del>
      <w:del w:id="285" w:author="Rancho" w:date="2023-12-18T14:13:27Z">
        <w:r>
          <w:rPr>
            <w:rFonts w:hint="eastAsia" w:ascii="楷体_GB2312" w:hAnsi="楷体_GB2312" w:eastAsia="楷体_GB2312" w:cs="楷体_GB2312"/>
            <w:sz w:val="32"/>
            <w:szCs w:val="32"/>
            <w:lang w:eastAsia="zh-CN"/>
          </w:rPr>
          <w:delText>发改局</w:delText>
        </w:r>
      </w:del>
      <w:del w:id="286" w:author="Rancho" w:date="2023-12-18T14:13:27Z">
        <w:r>
          <w:rPr>
            <w:rFonts w:hint="eastAsia" w:ascii="楷体_GB2312" w:hAnsi="楷体_GB2312" w:eastAsia="楷体_GB2312" w:cs="楷体_GB2312"/>
            <w:sz w:val="32"/>
            <w:szCs w:val="32"/>
          </w:rPr>
          <w:delText>、商务局、区场监管局、政管办、</w:delText>
        </w:r>
      </w:del>
      <w:del w:id="287" w:author="Rancho" w:date="2023-12-18T14:13:27Z">
        <w:r>
          <w:rPr>
            <w:rFonts w:hint="eastAsia" w:ascii="楷体_GB2312" w:hAnsi="楷体_GB2312" w:eastAsia="楷体_GB2312" w:cs="楷体_GB2312"/>
            <w:sz w:val="32"/>
            <w:szCs w:val="32"/>
            <w:lang w:eastAsia="zh-CN"/>
          </w:rPr>
          <w:delText>投促局</w:delText>
        </w:r>
      </w:del>
      <w:del w:id="288" w:author="Rancho" w:date="2023-12-18T14:13:27Z">
        <w:r>
          <w:rPr>
            <w:rFonts w:hint="eastAsia" w:ascii="楷体_GB2312" w:hAnsi="楷体_GB2312" w:eastAsia="楷体_GB2312" w:cs="楷体_GB2312"/>
            <w:sz w:val="32"/>
            <w:szCs w:val="32"/>
          </w:rPr>
          <w:delText>、工商联按职责分工负责；配合单位：区优化营商环境工作领导小组其他成员单位〕</w:delText>
        </w:r>
      </w:del>
    </w:p>
    <w:p>
      <w:pPr>
        <w:keepNext w:val="0"/>
        <w:keepLines w:val="0"/>
        <w:pageBreakBefore w:val="0"/>
        <w:widowControl w:val="0"/>
        <w:kinsoku/>
        <w:wordWrap/>
        <w:overflowPunct/>
        <w:topLinePunct w:val="0"/>
        <w:autoSpaceDE/>
        <w:autoSpaceDN/>
        <w:bidi w:val="0"/>
        <w:adjustRightInd/>
        <w:snapToGrid/>
        <w:spacing w:line="600" w:lineRule="exact"/>
        <w:ind w:left="5431" w:leftChars="2280" w:hanging="643" w:hangingChars="200"/>
        <w:textAlignment w:val="auto"/>
        <w:outlineLvl w:val="9"/>
        <w:rPr>
          <w:del w:id="290" w:author="Rancho" w:date="2023-12-18T14:13:27Z"/>
          <w:rFonts w:hint="eastAsia" w:ascii="楷体_GB2312" w:hAnsi="楷体_GB2312" w:eastAsia="楷体_GB2312" w:cs="楷体_GB2312"/>
          <w:sz w:val="32"/>
          <w:szCs w:val="32"/>
        </w:rPr>
        <w:pPrChange w:id="289" w:author="Rancho" w:date="2023-12-18T14:12:56Z">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pPr>
        </w:pPrChange>
      </w:pPr>
      <w:del w:id="291" w:author="Rancho" w:date="2023-12-18T14:13:27Z">
        <w:r>
          <w:rPr>
            <w:rFonts w:hint="eastAsia" w:ascii="仿宋_GB2312" w:hAnsi="仿宋_GB2312" w:eastAsia="仿宋_GB2312" w:cs="仿宋_GB2312"/>
            <w:b/>
            <w:bCs/>
            <w:sz w:val="32"/>
            <w:szCs w:val="32"/>
          </w:rPr>
          <w:delText>（三）深化改革创新。</w:delText>
        </w:r>
      </w:del>
      <w:del w:id="292" w:author="Rancho" w:date="2023-12-18T14:13:27Z">
        <w:r>
          <w:rPr>
            <w:rFonts w:hint="eastAsia" w:ascii="仿宋_GB2312" w:hAnsi="仿宋_GB2312" w:eastAsia="仿宋_GB2312" w:cs="仿宋_GB2312"/>
            <w:sz w:val="32"/>
            <w:szCs w:val="32"/>
          </w:rPr>
          <w:delText>各级各单位要主动对标国际先进标准和国内标杆城市，找差距、补短板，寻途径、找动力，因地制宜探索优化提升营商环境的新思路、新做法、新经验，持续推出一批彰显我区特色的优化提升营商环境亮点举措，力争在全国和全区推广更多改革创新“柳州模式”，提升我区核心竞争力。</w:delText>
        </w:r>
      </w:del>
      <w:del w:id="293" w:author="Rancho" w:date="2023-12-18T14:13:27Z">
        <w:r>
          <w:rPr>
            <w:rFonts w:hint="eastAsia" w:ascii="楷体_GB2312" w:hAnsi="楷体_GB2312" w:eastAsia="楷体_GB2312" w:cs="楷体_GB2312"/>
            <w:sz w:val="32"/>
            <w:szCs w:val="32"/>
          </w:rPr>
          <w:delText>〔牵头单位：区</w:delText>
        </w:r>
      </w:del>
      <w:del w:id="294" w:author="Rancho" w:date="2023-12-18T14:13:27Z">
        <w:r>
          <w:rPr>
            <w:rFonts w:hint="eastAsia" w:ascii="楷体_GB2312" w:hAnsi="楷体_GB2312" w:eastAsia="楷体_GB2312" w:cs="楷体_GB2312"/>
            <w:sz w:val="32"/>
            <w:szCs w:val="32"/>
            <w:lang w:eastAsia="zh-CN"/>
          </w:rPr>
          <w:delText>发改局</w:delText>
        </w:r>
      </w:del>
      <w:del w:id="295" w:author="Rancho" w:date="2023-12-18T14:13:27Z">
        <w:r>
          <w:rPr>
            <w:rFonts w:hint="eastAsia" w:ascii="楷体_GB2312" w:hAnsi="楷体_GB2312" w:eastAsia="楷体_GB2312" w:cs="楷体_GB2312"/>
            <w:sz w:val="32"/>
            <w:szCs w:val="32"/>
          </w:rPr>
          <w:delText>；配合单位：区优化营商环境工作领导小组其他成员单位〕</w:delText>
        </w:r>
      </w:del>
    </w:p>
    <w:p>
      <w:pPr>
        <w:keepNext w:val="0"/>
        <w:keepLines w:val="0"/>
        <w:pageBreakBefore w:val="0"/>
        <w:widowControl w:val="0"/>
        <w:kinsoku/>
        <w:wordWrap/>
        <w:overflowPunct/>
        <w:topLinePunct w:val="0"/>
        <w:autoSpaceDE/>
        <w:autoSpaceDN/>
        <w:bidi w:val="0"/>
        <w:adjustRightInd/>
        <w:snapToGrid/>
        <w:spacing w:line="600" w:lineRule="exact"/>
        <w:ind w:left="5431" w:leftChars="2280" w:hanging="643" w:hangingChars="200"/>
        <w:textAlignment w:val="auto"/>
        <w:outlineLvl w:val="9"/>
        <w:rPr>
          <w:del w:id="297" w:author="Rancho" w:date="2023-12-18T14:13:27Z"/>
          <w:rFonts w:hint="eastAsia" w:ascii="楷体_GB2312" w:hAnsi="楷体_GB2312" w:eastAsia="楷体_GB2312" w:cs="楷体_GB2312"/>
          <w:sz w:val="32"/>
          <w:szCs w:val="32"/>
        </w:rPr>
        <w:pPrChange w:id="296" w:author="Rancho" w:date="2023-12-18T14:12:56Z">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pPr>
        </w:pPrChange>
      </w:pPr>
      <w:del w:id="298" w:author="Rancho" w:date="2023-12-18T14:13:27Z">
        <w:r>
          <w:rPr>
            <w:rFonts w:hint="eastAsia" w:ascii="仿宋_GB2312" w:hAnsi="仿宋_GB2312" w:eastAsia="仿宋_GB2312" w:cs="仿宋_GB2312"/>
            <w:b/>
            <w:bCs/>
            <w:sz w:val="32"/>
            <w:szCs w:val="32"/>
          </w:rPr>
          <w:delText>（四）强化督查考核。</w:delText>
        </w:r>
      </w:del>
      <w:del w:id="299" w:author="Rancho" w:date="2023-12-18T14:13:27Z">
        <w:r>
          <w:rPr>
            <w:rFonts w:hint="eastAsia" w:ascii="仿宋_GB2312" w:hAnsi="仿宋_GB2312" w:eastAsia="仿宋_GB2312" w:cs="仿宋_GB2312"/>
            <w:sz w:val="32"/>
            <w:szCs w:val="32"/>
          </w:rPr>
          <w:delText>依托广西优化营商环境“智管云”平台、柳北区优化营商环境“12345企业诉求”服务热线等平台，加强对营商环境指标任务的跟踪，实现营商环境“难点、堵点”问题早发现早解决。完善全区优化营商环境绩效考核机制，继续将优化营商环境列入全区督查计划。加大督导力度，结合督查督办、绩效考评结果，督促各级各单位强化整改落实到位，推动全区营商环境水平整体提升。</w:delText>
        </w:r>
      </w:del>
      <w:del w:id="300" w:author="Rancho" w:date="2023-12-18T14:13:27Z">
        <w:r>
          <w:rPr>
            <w:rFonts w:hint="eastAsia" w:ascii="楷体_GB2312" w:hAnsi="楷体_GB2312" w:eastAsia="楷体_GB2312" w:cs="楷体_GB2312"/>
            <w:sz w:val="32"/>
            <w:szCs w:val="32"/>
          </w:rPr>
          <w:delText>〔牵头单位：区</w:delText>
        </w:r>
      </w:del>
      <w:del w:id="301" w:author="Rancho" w:date="2023-12-18T14:13:27Z">
        <w:r>
          <w:rPr>
            <w:rFonts w:hint="eastAsia" w:ascii="楷体_GB2312" w:hAnsi="楷体_GB2312" w:eastAsia="楷体_GB2312" w:cs="楷体_GB2312"/>
            <w:sz w:val="32"/>
            <w:szCs w:val="32"/>
            <w:lang w:eastAsia="zh-CN"/>
          </w:rPr>
          <w:delText>发改局</w:delText>
        </w:r>
      </w:del>
      <w:del w:id="302" w:author="Rancho" w:date="2023-12-18T14:13:27Z">
        <w:r>
          <w:rPr>
            <w:rFonts w:hint="eastAsia" w:ascii="楷体_GB2312" w:hAnsi="楷体_GB2312" w:eastAsia="楷体_GB2312" w:cs="楷体_GB2312"/>
            <w:sz w:val="32"/>
            <w:szCs w:val="32"/>
          </w:rPr>
          <w:delText>；配合单位：区优化营商环境工作领导小组其他成员单位〕</w:delText>
        </w:r>
      </w:del>
    </w:p>
    <w:p>
      <w:pPr>
        <w:keepNext w:val="0"/>
        <w:keepLines w:val="0"/>
        <w:pageBreakBefore w:val="0"/>
        <w:widowControl w:val="0"/>
        <w:kinsoku/>
        <w:wordWrap/>
        <w:overflowPunct/>
        <w:topLinePunct w:val="0"/>
        <w:autoSpaceDE/>
        <w:autoSpaceDN/>
        <w:bidi w:val="0"/>
        <w:adjustRightInd/>
        <w:snapToGrid/>
        <w:spacing w:line="600" w:lineRule="exact"/>
        <w:ind w:left="5431" w:leftChars="2280" w:hanging="643" w:hangingChars="200"/>
        <w:textAlignment w:val="auto"/>
        <w:outlineLvl w:val="9"/>
        <w:rPr>
          <w:del w:id="304" w:author="Rancho" w:date="2023-12-18T14:13:27Z"/>
          <w:rFonts w:hint="eastAsia" w:ascii="楷体_GB2312" w:hAnsi="楷体_GB2312" w:eastAsia="楷体_GB2312" w:cs="楷体_GB2312"/>
          <w:sz w:val="32"/>
          <w:szCs w:val="32"/>
        </w:rPr>
        <w:pPrChange w:id="303" w:author="Rancho" w:date="2023-12-18T14:12:56Z">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pPr>
        </w:pPrChange>
      </w:pPr>
      <w:del w:id="305" w:author="Rancho" w:date="2023-12-18T14:13:27Z">
        <w:r>
          <w:rPr>
            <w:rFonts w:hint="eastAsia" w:ascii="仿宋_GB2312" w:hAnsi="仿宋_GB2312" w:eastAsia="仿宋_GB2312" w:cs="仿宋_GB2312"/>
            <w:b/>
            <w:bCs/>
            <w:sz w:val="32"/>
            <w:szCs w:val="32"/>
          </w:rPr>
          <w:delText>（五）加大宣传引导。</w:delText>
        </w:r>
      </w:del>
      <w:del w:id="306" w:author="Rancho" w:date="2023-12-18T14:13:27Z">
        <w:r>
          <w:rPr>
            <w:rFonts w:hint="eastAsia" w:ascii="仿宋_GB2312" w:hAnsi="仿宋_GB2312" w:eastAsia="仿宋_GB2312" w:cs="仿宋_GB2312"/>
            <w:sz w:val="32"/>
            <w:szCs w:val="32"/>
          </w:rPr>
          <w:delText>加强优化营商环境政策宣传，通过发布新闻、专题报道、人物访谈等多种形式，持续宣传柳北区优化营商环境的政策举措、改革成效、经验做法和典型案例，对行之有效的经验做法及时复制推广。强化舆论引导，及时回应社会关切，解答公众疑问，正确引导社会预期，营造亲商安商重商的良好社会氛围。</w:delText>
        </w:r>
      </w:del>
      <w:del w:id="307" w:author="Rancho" w:date="2023-12-18T14:13:27Z">
        <w:r>
          <w:rPr>
            <w:rFonts w:hint="eastAsia" w:ascii="楷体_GB2312" w:hAnsi="楷体_GB2312" w:eastAsia="楷体_GB2312" w:cs="楷体_GB2312"/>
            <w:sz w:val="32"/>
            <w:szCs w:val="32"/>
          </w:rPr>
          <w:delText>〔牵头单位：区</w:delText>
        </w:r>
      </w:del>
      <w:del w:id="308" w:author="Rancho" w:date="2023-12-18T14:13:27Z">
        <w:r>
          <w:rPr>
            <w:rFonts w:hint="eastAsia" w:ascii="楷体_GB2312" w:hAnsi="楷体_GB2312" w:eastAsia="楷体_GB2312" w:cs="楷体_GB2312"/>
            <w:sz w:val="32"/>
            <w:szCs w:val="32"/>
            <w:lang w:eastAsia="zh-CN"/>
          </w:rPr>
          <w:delText>发改局</w:delText>
        </w:r>
      </w:del>
      <w:del w:id="309" w:author="Rancho" w:date="2023-12-18T14:13:27Z">
        <w:r>
          <w:rPr>
            <w:rFonts w:hint="eastAsia" w:ascii="楷体_GB2312" w:hAnsi="楷体_GB2312" w:eastAsia="楷体_GB2312" w:cs="楷体_GB2312"/>
            <w:sz w:val="32"/>
            <w:szCs w:val="32"/>
          </w:rPr>
          <w:delText>；配合单位：区委宣传部，区优化营商环境工作领导小组其他成员单位〕</w:delText>
        </w:r>
      </w:del>
    </w:p>
    <w:p>
      <w:pPr>
        <w:keepNext w:val="0"/>
        <w:keepLines w:val="0"/>
        <w:pageBreakBefore w:val="0"/>
        <w:widowControl w:val="0"/>
        <w:kinsoku/>
        <w:wordWrap/>
        <w:overflowPunct/>
        <w:topLinePunct w:val="0"/>
        <w:autoSpaceDE/>
        <w:autoSpaceDN/>
        <w:bidi w:val="0"/>
        <w:adjustRightInd/>
        <w:snapToGrid/>
        <w:spacing w:line="600" w:lineRule="exact"/>
        <w:ind w:left="5428" w:leftChars="2280" w:hanging="640" w:hangingChars="200"/>
        <w:textAlignment w:val="auto"/>
        <w:outlineLvl w:val="9"/>
        <w:rPr>
          <w:del w:id="311" w:author="Rancho" w:date="2023-12-18T14:13:27Z"/>
          <w:rFonts w:hint="eastAsia" w:ascii="仿宋_GB2312" w:hAnsi="仿宋_GB2312" w:eastAsia="仿宋_GB2312" w:cs="仿宋_GB2312"/>
          <w:sz w:val="32"/>
          <w:szCs w:val="32"/>
        </w:rPr>
        <w:pPrChange w:id="310" w:author="Rancho" w:date="2023-12-18T14:12:56Z">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pPr>
        </w:pPrChange>
      </w:pPr>
    </w:p>
    <w:p>
      <w:pPr>
        <w:keepNext w:val="0"/>
        <w:keepLines w:val="0"/>
        <w:pageBreakBefore w:val="0"/>
        <w:widowControl w:val="0"/>
        <w:kinsoku/>
        <w:wordWrap/>
        <w:overflowPunct/>
        <w:topLinePunct w:val="0"/>
        <w:autoSpaceDE/>
        <w:autoSpaceDN/>
        <w:bidi w:val="0"/>
        <w:adjustRightInd/>
        <w:snapToGrid/>
        <w:spacing w:line="600" w:lineRule="exact"/>
        <w:ind w:left="5428" w:leftChars="2280" w:hanging="640" w:hangingChars="200"/>
        <w:textAlignment w:val="auto"/>
        <w:outlineLvl w:val="9"/>
        <w:rPr>
          <w:del w:id="313" w:author="Rancho" w:date="2023-12-18T14:13:27Z"/>
          <w:rFonts w:hint="eastAsia" w:ascii="仿宋_GB2312" w:hAnsi="仿宋_GB2312" w:eastAsia="仿宋_GB2312" w:cs="仿宋_GB2312"/>
          <w:sz w:val="32"/>
          <w:szCs w:val="32"/>
        </w:rPr>
        <w:pPrChange w:id="312" w:author="Rancho" w:date="2023-12-18T14:13:05Z">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pPr>
        </w:pPrChange>
      </w:pPr>
    </w:p>
    <w:p>
      <w:pPr>
        <w:keepNext w:val="0"/>
        <w:keepLines w:val="0"/>
        <w:pageBreakBefore w:val="0"/>
        <w:widowControl w:val="0"/>
        <w:kinsoku/>
        <w:wordWrap/>
        <w:overflowPunct/>
        <w:topLinePunct w:val="0"/>
        <w:autoSpaceDE/>
        <w:autoSpaceDN/>
        <w:bidi w:val="0"/>
        <w:adjustRightInd/>
        <w:snapToGrid/>
        <w:spacing w:line="600" w:lineRule="exact"/>
        <w:ind w:left="5428" w:leftChars="2280" w:hanging="640" w:hangingChars="200"/>
        <w:textAlignment w:val="auto"/>
        <w:outlineLvl w:val="9"/>
        <w:rPr>
          <w:del w:id="315" w:author="Rancho" w:date="2023-12-18T14:13:27Z"/>
          <w:rFonts w:hint="eastAsia" w:ascii="仿宋_GB2312" w:hAnsi="仿宋_GB2312" w:eastAsia="仿宋_GB2312" w:cs="仿宋_GB2312"/>
          <w:sz w:val="32"/>
          <w:szCs w:val="32"/>
        </w:rPr>
        <w:pPrChange w:id="314" w:author="Rancho" w:date="2023-12-18T14:13:05Z">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pPr>
        </w:pPrChange>
      </w:pPr>
      <w:del w:id="316" w:author="Rancho" w:date="2023-12-18T14:13:27Z">
        <w:r>
          <w:rPr>
            <w:rFonts w:hint="eastAsia" w:ascii="仿宋_GB2312" w:hAnsi="仿宋_GB2312" w:eastAsia="仿宋_GB2312" w:cs="仿宋_GB2312"/>
            <w:sz w:val="32"/>
            <w:szCs w:val="32"/>
          </w:rPr>
          <w:delText>附件：2023年柳北区优化营商环境工作要点任务清单</w:delText>
        </w:r>
      </w:del>
    </w:p>
    <w:p>
      <w:pPr>
        <w:widowControl w:val="0"/>
        <w:kinsoku/>
        <w:autoSpaceDE/>
        <w:autoSpaceDN/>
        <w:adjustRightInd/>
        <w:snapToGrid/>
        <w:spacing w:line="600" w:lineRule="exact"/>
        <w:ind w:left="5208" w:leftChars="2280" w:hanging="420" w:hangingChars="200"/>
        <w:textAlignment w:val="auto"/>
        <w:rPr>
          <w:del w:id="318" w:author="Rancho" w:date="2023-12-18T14:13:27Z"/>
          <w:rFonts w:ascii="Arial"/>
          <w:sz w:val="21"/>
        </w:rPr>
        <w:pPrChange w:id="317" w:author="Rancho" w:date="2023-12-18T14:13:05Z">
          <w:pPr>
            <w:spacing w:line="267" w:lineRule="auto"/>
          </w:pPr>
        </w:pPrChange>
      </w:pPr>
    </w:p>
    <w:p>
      <w:pPr>
        <w:widowControl w:val="0"/>
        <w:kinsoku/>
        <w:autoSpaceDE/>
        <w:autoSpaceDN/>
        <w:adjustRightInd/>
        <w:snapToGrid/>
        <w:spacing w:line="600" w:lineRule="exact"/>
        <w:ind w:left="5208" w:leftChars="2280" w:hanging="420" w:hangingChars="200"/>
        <w:textAlignment w:val="auto"/>
        <w:rPr>
          <w:del w:id="320" w:author="Rancho" w:date="2023-12-18T14:13:27Z"/>
          <w:rFonts w:ascii="Arial"/>
          <w:sz w:val="21"/>
        </w:rPr>
        <w:pPrChange w:id="319" w:author="Rancho" w:date="2023-12-18T14:13:05Z">
          <w:pPr>
            <w:spacing w:line="267" w:lineRule="auto"/>
          </w:pPr>
        </w:pPrChange>
      </w:pPr>
    </w:p>
    <w:p>
      <w:pPr>
        <w:widowControl w:val="0"/>
        <w:kinsoku/>
        <w:autoSpaceDE/>
        <w:autoSpaceDN/>
        <w:adjustRightInd/>
        <w:snapToGrid/>
        <w:spacing w:line="600" w:lineRule="exact"/>
        <w:ind w:left="0" w:leftChars="0" w:firstLine="0" w:firstLineChars="0"/>
        <w:textAlignment w:val="auto"/>
        <w:rPr>
          <w:rFonts w:ascii="仿宋" w:hAnsi="仿宋" w:eastAsia="仿宋" w:cs="仿宋"/>
          <w:sz w:val="31"/>
          <w:szCs w:val="31"/>
        </w:rPr>
        <w:sectPr>
          <w:headerReference r:id="rId8" w:type="default"/>
          <w:footerReference r:id="rId9" w:type="default"/>
          <w:pgSz w:w="11906" w:h="16838"/>
          <w:pgMar w:top="1440" w:right="1474" w:bottom="1440" w:left="1587" w:header="0" w:footer="1763" w:gutter="0"/>
          <w:pgNumType w:fmt="numberInDash"/>
          <w:cols w:equalWidth="0" w:num="1">
            <w:col w:w="9107"/>
          </w:cols>
          <w:rtlGutter w:val="0"/>
          <w:docGrid w:linePitch="0" w:charSpace="0"/>
        </w:sectPr>
        <w:pPrChange w:id="321" w:author="Rancho" w:date="2023-12-18T14:13:27Z">
          <w:pPr>
            <w:spacing w:line="222" w:lineRule="auto"/>
          </w:pPr>
        </w:pPrChange>
      </w:pPr>
    </w:p>
    <w:p>
      <w:pPr>
        <w:spacing w:line="256" w:lineRule="auto"/>
        <w:rPr>
          <w:rFonts w:ascii="Arial"/>
          <w:sz w:val="21"/>
        </w:rPr>
      </w:pPr>
    </w:p>
    <w:p>
      <w:pPr>
        <w:spacing w:before="101" w:line="230" w:lineRule="auto"/>
        <w:rPr>
          <w:rFonts w:ascii="黑体" w:hAnsi="黑体" w:eastAsia="黑体" w:cs="黑体"/>
          <w:sz w:val="31"/>
          <w:szCs w:val="31"/>
        </w:rPr>
      </w:pPr>
      <w:r>
        <w:rPr>
          <w:rFonts w:ascii="黑体" w:hAnsi="黑体" w:eastAsia="黑体" w:cs="黑体"/>
          <w:spacing w:val="-6"/>
          <w:sz w:val="31"/>
          <w:szCs w:val="31"/>
        </w:rPr>
        <w:t>附件</w:t>
      </w:r>
    </w:p>
    <w:p>
      <w:pPr>
        <w:pStyle w:val="2"/>
        <w:spacing w:before="99" w:line="213" w:lineRule="auto"/>
        <w:ind w:left="1846"/>
        <w:rPr>
          <w:spacing w:val="8"/>
          <w:sz w:val="43"/>
          <w:szCs w:val="43"/>
          <w14:textOutline w14:w="6350" w14:cap="flat" w14:cmpd="sng">
            <w14:solidFill>
              <w14:srgbClr w14:val="000000"/>
            </w14:solidFill>
            <w14:prstDash w14:val="solid"/>
            <w14:miter w14:val="0"/>
          </w14:textOutline>
        </w:rPr>
      </w:pPr>
      <w:r>
        <w:rPr>
          <w:rFonts w:ascii="Times New Roman" w:hAnsi="Times New Roman" w:eastAsia="Times New Roman" w:cs="Times New Roman"/>
          <w:spacing w:val="8"/>
          <w:sz w:val="43"/>
          <w:szCs w:val="43"/>
        </w:rPr>
        <w:t>2023</w:t>
      </w:r>
      <w:r>
        <w:rPr>
          <w:spacing w:val="8"/>
          <w:sz w:val="43"/>
          <w:szCs w:val="43"/>
          <w14:textOutline w14:w="6350" w14:cap="flat" w14:cmpd="sng">
            <w14:solidFill>
              <w14:srgbClr w14:val="000000"/>
            </w14:solidFill>
            <w14:prstDash w14:val="solid"/>
            <w14:miter w14:val="0"/>
          </w14:textOutline>
        </w:rPr>
        <w:t>年</w:t>
      </w:r>
      <w:r>
        <w:rPr>
          <w:rFonts w:hint="eastAsia"/>
          <w:spacing w:val="8"/>
          <w:sz w:val="43"/>
          <w:szCs w:val="43"/>
          <w:lang w:eastAsia="zh-CN"/>
          <w14:textOutline w14:w="6350" w14:cap="flat" w14:cmpd="sng">
            <w14:solidFill>
              <w14:srgbClr w14:val="000000"/>
            </w14:solidFill>
            <w14:prstDash w14:val="solid"/>
            <w14:miter w14:val="0"/>
          </w14:textOutline>
        </w:rPr>
        <w:t>柳北区</w:t>
      </w:r>
      <w:r>
        <w:rPr>
          <w:spacing w:val="8"/>
          <w:sz w:val="43"/>
          <w:szCs w:val="43"/>
          <w14:textOutline w14:w="6350" w14:cap="flat" w14:cmpd="sng">
            <w14:solidFill>
              <w14:srgbClr w14:val="000000"/>
            </w14:solidFill>
            <w14:prstDash w14:val="solid"/>
            <w14:miter w14:val="0"/>
          </w14:textOutline>
        </w:rPr>
        <w:t>优化营商环境工作要点任务清单</w:t>
      </w:r>
    </w:p>
    <w:tbl>
      <w:tblPr>
        <w:tblStyle w:val="8"/>
        <w:tblW w:w="12426" w:type="dxa"/>
        <w:tblInd w:w="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center"/>
          </w:tcPr>
          <w:p>
            <w:pPr>
              <w:spacing w:before="104" w:line="242" w:lineRule="auto"/>
              <w:ind w:left="138"/>
              <w:jc w:val="both"/>
              <w:rPr>
                <w:rFonts w:hint="eastAsia" w:ascii="微软雅黑" w:hAnsi="微软雅黑" w:eastAsia="微软雅黑" w:cs="微软雅黑"/>
                <w:sz w:val="22"/>
                <w:szCs w:val="22"/>
              </w:rPr>
            </w:pPr>
            <w:r>
              <w:rPr>
                <w:rFonts w:hint="eastAsia" w:ascii="微软雅黑" w:hAnsi="微软雅黑" w:eastAsia="微软雅黑" w:cs="微软雅黑"/>
                <w:spacing w:val="-1"/>
                <w:sz w:val="22"/>
                <w:szCs w:val="22"/>
              </w:rPr>
              <w:t>序号</w:t>
            </w:r>
          </w:p>
        </w:tc>
        <w:tc>
          <w:tcPr>
            <w:tcW w:w="875" w:type="dxa"/>
            <w:vAlign w:val="center"/>
          </w:tcPr>
          <w:p>
            <w:pPr>
              <w:spacing w:before="104" w:line="242" w:lineRule="auto"/>
              <w:ind w:left="222"/>
              <w:jc w:val="both"/>
              <w:rPr>
                <w:rFonts w:hint="eastAsia" w:ascii="微软雅黑" w:hAnsi="微软雅黑" w:eastAsia="微软雅黑" w:cs="微软雅黑"/>
                <w:sz w:val="22"/>
                <w:szCs w:val="22"/>
              </w:rPr>
            </w:pPr>
            <w:r>
              <w:rPr>
                <w:rFonts w:hint="eastAsia" w:ascii="微软雅黑" w:hAnsi="微软雅黑" w:eastAsia="微软雅黑" w:cs="微软雅黑"/>
                <w:spacing w:val="-2"/>
                <w:sz w:val="22"/>
                <w:szCs w:val="22"/>
              </w:rPr>
              <w:t>指标</w:t>
            </w:r>
          </w:p>
        </w:tc>
        <w:tc>
          <w:tcPr>
            <w:tcW w:w="1828" w:type="dxa"/>
            <w:vAlign w:val="center"/>
          </w:tcPr>
          <w:p>
            <w:pPr>
              <w:spacing w:before="104"/>
              <w:ind w:left="485"/>
              <w:jc w:val="both"/>
              <w:rPr>
                <w:rFonts w:hint="eastAsia" w:ascii="微软雅黑" w:hAnsi="微软雅黑" w:eastAsia="微软雅黑" w:cs="微软雅黑"/>
                <w:sz w:val="22"/>
                <w:szCs w:val="22"/>
              </w:rPr>
            </w:pPr>
            <w:r>
              <w:rPr>
                <w:rFonts w:hint="eastAsia" w:ascii="微软雅黑" w:hAnsi="微软雅黑" w:eastAsia="微软雅黑" w:cs="微软雅黑"/>
                <w:spacing w:val="-4"/>
                <w:sz w:val="22"/>
                <w:szCs w:val="22"/>
              </w:rPr>
              <w:t>改革方向</w:t>
            </w:r>
          </w:p>
        </w:tc>
        <w:tc>
          <w:tcPr>
            <w:tcW w:w="3262" w:type="dxa"/>
            <w:vAlign w:val="center"/>
          </w:tcPr>
          <w:p>
            <w:pPr>
              <w:spacing w:before="104"/>
              <w:ind w:left="1195"/>
              <w:jc w:val="both"/>
              <w:rPr>
                <w:rFonts w:hint="eastAsia" w:ascii="微软雅黑" w:hAnsi="微软雅黑" w:eastAsia="微软雅黑" w:cs="微软雅黑"/>
                <w:sz w:val="22"/>
                <w:szCs w:val="22"/>
              </w:rPr>
            </w:pPr>
            <w:r>
              <w:rPr>
                <w:rFonts w:hint="eastAsia" w:ascii="微软雅黑" w:hAnsi="微软雅黑" w:eastAsia="微软雅黑" w:cs="微软雅黑"/>
                <w:spacing w:val="-2"/>
                <w:sz w:val="22"/>
                <w:szCs w:val="22"/>
              </w:rPr>
              <w:t>任务举措</w:t>
            </w:r>
          </w:p>
        </w:tc>
        <w:tc>
          <w:tcPr>
            <w:tcW w:w="1732" w:type="dxa"/>
            <w:vAlign w:val="center"/>
          </w:tcPr>
          <w:p>
            <w:pPr>
              <w:spacing w:before="104"/>
              <w:ind w:left="434"/>
              <w:jc w:val="both"/>
              <w:rPr>
                <w:rFonts w:hint="eastAsia" w:ascii="微软雅黑" w:hAnsi="微软雅黑" w:eastAsia="微软雅黑" w:cs="微软雅黑"/>
                <w:sz w:val="22"/>
                <w:szCs w:val="22"/>
              </w:rPr>
            </w:pPr>
            <w:r>
              <w:rPr>
                <w:rFonts w:hint="eastAsia" w:ascii="微软雅黑" w:hAnsi="微软雅黑" w:eastAsia="微软雅黑" w:cs="微软雅黑"/>
                <w:spacing w:val="-3"/>
                <w:sz w:val="22"/>
                <w:szCs w:val="22"/>
              </w:rPr>
              <w:t>完成时限</w:t>
            </w:r>
          </w:p>
        </w:tc>
        <w:tc>
          <w:tcPr>
            <w:tcW w:w="2087" w:type="dxa"/>
            <w:vAlign w:val="center"/>
          </w:tcPr>
          <w:p>
            <w:pPr>
              <w:spacing w:before="104"/>
              <w:ind w:left="617"/>
              <w:jc w:val="both"/>
              <w:rPr>
                <w:rFonts w:hint="eastAsia" w:ascii="微软雅黑" w:hAnsi="微软雅黑" w:eastAsia="微软雅黑" w:cs="微软雅黑"/>
                <w:sz w:val="22"/>
                <w:szCs w:val="22"/>
              </w:rPr>
            </w:pPr>
            <w:r>
              <w:rPr>
                <w:rFonts w:hint="eastAsia" w:ascii="微软雅黑" w:hAnsi="微软雅黑" w:eastAsia="微软雅黑" w:cs="微软雅黑"/>
                <w:spacing w:val="-4"/>
                <w:sz w:val="22"/>
                <w:szCs w:val="22"/>
              </w:rPr>
              <w:t>牵头单位</w:t>
            </w:r>
          </w:p>
        </w:tc>
        <w:tc>
          <w:tcPr>
            <w:tcW w:w="1927" w:type="dxa"/>
            <w:vAlign w:val="center"/>
          </w:tcPr>
          <w:p>
            <w:pPr>
              <w:spacing w:before="104" w:line="241" w:lineRule="auto"/>
              <w:ind w:left="536"/>
              <w:jc w:val="both"/>
              <w:rPr>
                <w:rFonts w:hint="eastAsia" w:ascii="微软雅黑" w:hAnsi="微软雅黑" w:eastAsia="微软雅黑" w:cs="微软雅黑"/>
                <w:sz w:val="22"/>
                <w:szCs w:val="22"/>
              </w:rPr>
            </w:pPr>
            <w:r>
              <w:rPr>
                <w:rFonts w:hint="eastAsia" w:ascii="微软雅黑" w:hAnsi="微软雅黑" w:eastAsia="微软雅黑" w:cs="微软雅黑"/>
                <w:spacing w:val="-4"/>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2" w:hRule="atLeast"/>
        </w:trPr>
        <w:tc>
          <w:tcPr>
            <w:tcW w:w="715" w:type="dxa"/>
            <w:vAlign w:val="center"/>
          </w:tcPr>
          <w:p>
            <w:pPr>
              <w:spacing w:before="72" w:line="184" w:lineRule="auto"/>
              <w:ind w:left="0"/>
              <w:jc w:val="center"/>
              <w:rPr>
                <w:rFonts w:hint="eastAsia" w:ascii="微软雅黑" w:hAnsi="微软雅黑" w:eastAsia="微软雅黑" w:cs="微软雅黑"/>
                <w:sz w:val="22"/>
                <w:szCs w:val="22"/>
              </w:rPr>
            </w:pPr>
            <w:r>
              <w:rPr>
                <w:rFonts w:hint="default" w:ascii="微软雅黑" w:hAnsi="微软雅黑" w:eastAsia="微软雅黑" w:cs="微软雅黑"/>
                <w:spacing w:val="-7"/>
                <w:w w:val="99"/>
                <w:sz w:val="22"/>
                <w:szCs w:val="22"/>
              </w:rPr>
              <w:t>1</w:t>
            </w:r>
          </w:p>
        </w:tc>
        <w:tc>
          <w:tcPr>
            <w:tcW w:w="875" w:type="dxa"/>
            <w:vAlign w:val="center"/>
          </w:tcPr>
          <w:p>
            <w:pPr>
              <w:pStyle w:val="9"/>
              <w:autoSpaceDE/>
              <w:autoSpaceDN/>
              <w:spacing w:before="94" w:line="212" w:lineRule="auto"/>
              <w:ind w:left="108" w:right="108" w:firstLine="6"/>
              <w:jc w:val="center"/>
            </w:pPr>
            <w:r>
              <w:rPr>
                <w:spacing w:val="-7"/>
                <w:w w:val="99"/>
              </w:rPr>
              <w:t>开办</w:t>
            </w:r>
            <w:r>
              <w:rPr>
                <w:spacing w:val="-1"/>
              </w:rPr>
              <w:t>企业</w:t>
            </w:r>
          </w:p>
        </w:tc>
        <w:tc>
          <w:tcPr>
            <w:tcW w:w="1828" w:type="dxa"/>
            <w:vAlign w:val="center"/>
          </w:tcPr>
          <w:p>
            <w:pPr>
              <w:pStyle w:val="9"/>
              <w:spacing w:before="94" w:line="209" w:lineRule="auto"/>
              <w:ind w:left="112" w:right="105" w:hanging="4"/>
              <w:jc w:val="center"/>
            </w:pPr>
            <w:r>
              <w:rPr>
                <w:spacing w:val="9"/>
              </w:rPr>
              <w:t>进一步便利企业</w:t>
            </w:r>
            <w:r>
              <w:rPr>
                <w:spacing w:val="-2"/>
              </w:rPr>
              <w:t>开立银行账户</w:t>
            </w:r>
          </w:p>
        </w:tc>
        <w:tc>
          <w:tcPr>
            <w:tcW w:w="3262" w:type="dxa"/>
            <w:vAlign w:val="center"/>
          </w:tcPr>
          <w:p>
            <w:pPr>
              <w:pStyle w:val="9"/>
              <w:spacing w:before="41" w:line="213" w:lineRule="auto"/>
              <w:ind w:left="108" w:right="92"/>
              <w:jc w:val="left"/>
            </w:pPr>
            <w:r>
              <w:rPr>
                <w:spacing w:val="14"/>
              </w:rPr>
              <w:t>优化新登记企业开立银行账户</w:t>
            </w:r>
            <w:r>
              <w:rPr>
                <w:spacing w:val="-3"/>
              </w:rPr>
              <w:t>流程。商业银行根据预约要求和电子营业执照信息，按简易流程为企业开立基本存款账户后，经</w:t>
            </w:r>
            <w:r>
              <w:rPr>
                <w:spacing w:val="-1"/>
              </w:rPr>
              <w:t>企业授权同意，通过</w:t>
            </w:r>
            <w:r>
              <w:rPr>
                <w:rFonts w:hint="eastAsia" w:ascii="微软雅黑" w:hAnsi="微软雅黑" w:eastAsia="微软雅黑" w:cs="微软雅黑"/>
                <w:spacing w:val="-1"/>
              </w:rPr>
              <w:t>“</w:t>
            </w:r>
            <w:r>
              <w:rPr>
                <w:spacing w:val="-1"/>
              </w:rPr>
              <w:t>一窗通</w:t>
            </w:r>
            <w:r>
              <w:rPr>
                <w:rFonts w:hint="eastAsia" w:ascii="微软雅黑" w:hAnsi="微软雅黑" w:eastAsia="微软雅黑" w:cs="微软雅黑"/>
                <w:spacing w:val="-1"/>
              </w:rPr>
              <w:t>”</w:t>
            </w:r>
            <w:r>
              <w:rPr>
                <w:spacing w:val="-1"/>
              </w:rPr>
              <w:t>平</w:t>
            </w:r>
            <w:r>
              <w:rPr>
                <w:spacing w:val="-2"/>
              </w:rPr>
              <w:t>台及时将相关信息推送给税务、</w:t>
            </w:r>
            <w:r>
              <w:rPr>
                <w:spacing w:val="-3"/>
              </w:rPr>
              <w:t>社保、医保、住房公积金管理等部门。提高商业银行对电子执照的认可度，进一步推进简易开户</w:t>
            </w:r>
            <w:r>
              <w:rPr>
                <w:spacing w:val="-10"/>
              </w:rPr>
              <w:t>服务工作，提高企业开户效率。</w:t>
            </w:r>
          </w:p>
        </w:tc>
        <w:tc>
          <w:tcPr>
            <w:tcW w:w="1732" w:type="dxa"/>
            <w:vAlign w:val="center"/>
          </w:tcPr>
          <w:p>
            <w:pPr>
              <w:spacing w:line="257" w:lineRule="auto"/>
              <w:jc w:val="center"/>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2023年12月31日</w:t>
            </w:r>
          </w:p>
        </w:tc>
        <w:tc>
          <w:tcPr>
            <w:tcW w:w="2087" w:type="dxa"/>
            <w:vAlign w:val="center"/>
          </w:tcPr>
          <w:p>
            <w:pPr>
              <w:spacing w:line="257" w:lineRule="auto"/>
              <w:jc w:val="center"/>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lang w:eastAsia="zh-CN"/>
              </w:rPr>
              <w:t>区</w:t>
            </w:r>
            <w:r>
              <w:rPr>
                <w:rFonts w:hint="eastAsia" w:ascii="微软雅黑" w:hAnsi="微软雅黑" w:eastAsia="微软雅黑" w:cs="微软雅黑"/>
                <w:spacing w:val="0"/>
                <w:sz w:val="22"/>
                <w:szCs w:val="22"/>
              </w:rPr>
              <w:t>市场监管局</w:t>
            </w:r>
          </w:p>
        </w:tc>
        <w:tc>
          <w:tcPr>
            <w:tcW w:w="1927" w:type="dxa"/>
            <w:vAlign w:val="center"/>
          </w:tcPr>
          <w:p>
            <w:pPr>
              <w:pStyle w:val="9"/>
              <w:spacing w:before="94" w:line="214" w:lineRule="auto"/>
              <w:ind w:left="111" w:right="102" w:firstLine="3"/>
              <w:jc w:val="center"/>
            </w:pPr>
            <w:r>
              <w:rPr>
                <w:rFonts w:hint="eastAsia"/>
                <w:spacing w:val="-8"/>
                <w:lang w:eastAsia="zh-CN"/>
              </w:rPr>
              <w:t>政管办</w:t>
            </w:r>
            <w:r>
              <w:rPr>
                <w:spacing w:val="-7"/>
              </w:rPr>
              <w:t>、</w:t>
            </w:r>
            <w:r>
              <w:rPr>
                <w:rFonts w:hint="eastAsia"/>
                <w:spacing w:val="-7"/>
                <w:lang w:eastAsia="zh-CN"/>
              </w:rPr>
              <w:t>人社局</w:t>
            </w:r>
            <w:r>
              <w:rPr>
                <w:spacing w:val="-8"/>
              </w:rPr>
              <w:t>、</w:t>
            </w:r>
            <w:r>
              <w:rPr>
                <w:rFonts w:hint="eastAsia"/>
                <w:spacing w:val="-8"/>
                <w:lang w:eastAsia="zh-CN"/>
              </w:rPr>
              <w:t>住建局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2" w:hRule="atLeast"/>
        </w:trPr>
        <w:tc>
          <w:tcPr>
            <w:tcW w:w="715" w:type="dxa"/>
            <w:vAlign w:val="center"/>
          </w:tcPr>
          <w:p>
            <w:pPr>
              <w:spacing w:before="72" w:line="184" w:lineRule="auto"/>
              <w:ind w:left="0"/>
              <w:jc w:val="center"/>
              <w:rPr>
                <w:rFonts w:hint="default" w:ascii="微软雅黑" w:hAnsi="微软雅黑" w:eastAsia="微软雅黑" w:cs="微软雅黑"/>
                <w:spacing w:val="-7"/>
                <w:w w:val="99"/>
                <w:sz w:val="22"/>
                <w:szCs w:val="22"/>
              </w:rPr>
            </w:pPr>
            <w:r>
              <w:rPr>
                <w:rFonts w:hint="default" w:ascii="微软雅黑" w:hAnsi="微软雅黑" w:eastAsia="微软雅黑" w:cs="微软雅黑"/>
                <w:spacing w:val="-7"/>
                <w:w w:val="99"/>
                <w:sz w:val="22"/>
                <w:szCs w:val="22"/>
              </w:rPr>
              <w:t>2</w:t>
            </w:r>
          </w:p>
        </w:tc>
        <w:tc>
          <w:tcPr>
            <w:tcW w:w="875" w:type="dxa"/>
            <w:vAlign w:val="center"/>
          </w:tcPr>
          <w:p>
            <w:pPr>
              <w:autoSpaceDE/>
              <w:autoSpaceDN/>
              <w:spacing w:before="94" w:line="212" w:lineRule="auto"/>
              <w:ind w:left="38" w:leftChars="18" w:right="38" w:rightChars="18"/>
              <w:jc w:val="center"/>
              <w:rPr>
                <w:rFonts w:hint="default" w:ascii="微软雅黑" w:hAnsi="微软雅黑" w:eastAsia="微软雅黑" w:cs="微软雅黑"/>
                <w:spacing w:val="-7"/>
                <w:w w:val="99"/>
                <w:sz w:val="22"/>
                <w:szCs w:val="22"/>
              </w:rPr>
            </w:pPr>
            <w:r>
              <w:rPr>
                <w:rFonts w:hint="default" w:ascii="微软雅黑" w:hAnsi="微软雅黑" w:eastAsia="微软雅黑" w:cs="微软雅黑"/>
                <w:spacing w:val="-7"/>
                <w:w w:val="99"/>
                <w:sz w:val="22"/>
                <w:szCs w:val="22"/>
              </w:rPr>
              <w:t>开办企业</w:t>
            </w:r>
          </w:p>
        </w:tc>
        <w:tc>
          <w:tcPr>
            <w:tcW w:w="1828" w:type="dxa"/>
            <w:vAlign w:val="center"/>
          </w:tcPr>
          <w:p>
            <w:pPr>
              <w:spacing w:line="257" w:lineRule="auto"/>
              <w:jc w:val="center"/>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便利企业分支机构、连锁门店信息变更</w:t>
            </w:r>
          </w:p>
        </w:tc>
        <w:tc>
          <w:tcPr>
            <w:tcW w:w="3262" w:type="dxa"/>
            <w:vAlign w:val="center"/>
          </w:tcPr>
          <w:p>
            <w:pPr>
              <w:spacing w:line="257" w:lineRule="auto"/>
              <w:jc w:val="both"/>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实现分支机构统一信息（公司名称、经营范围）集中统一办理。</w:t>
            </w:r>
          </w:p>
        </w:tc>
        <w:tc>
          <w:tcPr>
            <w:tcW w:w="1732" w:type="dxa"/>
            <w:vAlign w:val="center"/>
          </w:tcPr>
          <w:p>
            <w:pPr>
              <w:spacing w:line="257" w:lineRule="auto"/>
              <w:jc w:val="both"/>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2023年12月31</w:t>
            </w:r>
            <w:r>
              <w:rPr>
                <w:rFonts w:hint="eastAsia" w:ascii="微软雅黑" w:hAnsi="微软雅黑" w:eastAsia="微软雅黑" w:cs="微软雅黑"/>
                <w:sz w:val="22"/>
                <w:szCs w:val="22"/>
              </w:rPr>
              <w:t>日</w:t>
            </w:r>
          </w:p>
        </w:tc>
        <w:tc>
          <w:tcPr>
            <w:tcW w:w="2087" w:type="dxa"/>
            <w:vAlign w:val="center"/>
          </w:tcPr>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区市场监管局</w:t>
            </w:r>
          </w:p>
        </w:tc>
        <w:tc>
          <w:tcPr>
            <w:tcW w:w="1927" w:type="dxa"/>
            <w:vAlign w:val="center"/>
          </w:tcPr>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政管办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0" w:hRule="atLeast"/>
        </w:trPr>
        <w:tc>
          <w:tcPr>
            <w:tcW w:w="715" w:type="dxa"/>
            <w:vAlign w:val="center"/>
          </w:tcPr>
          <w:p>
            <w:pPr>
              <w:spacing w:before="0" w:line="257" w:lineRule="auto"/>
              <w:ind w:left="0" w:leftChars="0" w:firstLine="0" w:firstLineChars="0"/>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 xml:space="preserve">    </w:t>
            </w:r>
          </w:p>
          <w:p>
            <w:pPr>
              <w:autoSpaceDE/>
              <w:autoSpaceDN/>
              <w:spacing w:before="0" w:line="257" w:lineRule="auto"/>
              <w:ind w:left="0" w:leftChars="0" w:firstLine="0" w:firstLineChars="0"/>
              <w:jc w:val="center"/>
              <w:rPr>
                <w:rFonts w:hint="eastAsia" w:ascii="微软雅黑" w:hAnsi="微软雅黑" w:eastAsia="微软雅黑" w:cs="微软雅黑"/>
                <w:sz w:val="22"/>
                <w:szCs w:val="22"/>
              </w:rPr>
            </w:pPr>
            <w:r>
              <w:rPr>
                <w:rFonts w:hint="eastAsia" w:ascii="微软雅黑" w:hAnsi="微软雅黑" w:eastAsia="微软雅黑" w:cs="微软雅黑"/>
                <w:spacing w:val="0"/>
                <w:w w:val="100"/>
                <w:sz w:val="22"/>
                <w:szCs w:val="22"/>
              </w:rPr>
              <w:t>3</w:t>
            </w:r>
          </w:p>
        </w:tc>
        <w:tc>
          <w:tcPr>
            <w:tcW w:w="875" w:type="dxa"/>
            <w:vAlign w:val="center"/>
          </w:tcPr>
          <w:p>
            <w:pPr>
              <w:spacing w:line="257" w:lineRule="auto"/>
              <w:jc w:val="both"/>
              <w:rPr>
                <w:rFonts w:hint="eastAsia" w:ascii="微软雅黑" w:hAnsi="微软雅黑" w:eastAsia="微软雅黑" w:cs="微软雅黑"/>
                <w:sz w:val="22"/>
                <w:szCs w:val="22"/>
              </w:rPr>
            </w:pPr>
          </w:p>
          <w:p>
            <w:pPr>
              <w:spacing w:line="257" w:lineRule="auto"/>
              <w:jc w:val="center"/>
              <w:rPr>
                <w:rFonts w:hint="eastAsia" w:ascii="微软雅黑" w:hAnsi="微软雅黑" w:eastAsia="微软雅黑" w:cs="微软雅黑"/>
                <w:spacing w:val="0"/>
                <w:w w:val="100"/>
                <w:sz w:val="22"/>
                <w:szCs w:val="22"/>
              </w:rPr>
            </w:pPr>
            <w:r>
              <w:rPr>
                <w:rFonts w:hint="eastAsia" w:ascii="微软雅黑" w:hAnsi="微软雅黑" w:eastAsia="微软雅黑" w:cs="微软雅黑"/>
                <w:spacing w:val="0"/>
                <w:w w:val="100"/>
                <w:sz w:val="22"/>
                <w:szCs w:val="22"/>
              </w:rPr>
              <w:t>开办</w:t>
            </w:r>
            <w:r>
              <w:rPr>
                <w:rFonts w:hint="eastAsia" w:ascii="微软雅黑" w:hAnsi="微软雅黑" w:eastAsia="微软雅黑" w:cs="微软雅黑"/>
                <w:spacing w:val="0"/>
                <w:sz w:val="22"/>
                <w:szCs w:val="22"/>
              </w:rPr>
              <w:t>企业</w:t>
            </w:r>
          </w:p>
        </w:tc>
        <w:tc>
          <w:tcPr>
            <w:tcW w:w="1828" w:type="dxa"/>
            <w:vAlign w:val="center"/>
          </w:tcPr>
          <w:p>
            <w:pPr>
              <w:spacing w:line="257" w:lineRule="auto"/>
              <w:jc w:val="both"/>
              <w:rPr>
                <w:rFonts w:hint="eastAsia" w:ascii="微软雅黑" w:hAnsi="微软雅黑" w:eastAsia="微软雅黑" w:cs="微软雅黑"/>
                <w:sz w:val="22"/>
                <w:szCs w:val="22"/>
              </w:rPr>
            </w:pPr>
          </w:p>
          <w:p>
            <w:pPr>
              <w:spacing w:line="257" w:lineRule="auto"/>
              <w:jc w:val="center"/>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提高设立分支机构便利度</w:t>
            </w:r>
          </w:p>
        </w:tc>
        <w:tc>
          <w:tcPr>
            <w:tcW w:w="3262" w:type="dxa"/>
            <w:vAlign w:val="center"/>
          </w:tcPr>
          <w:p>
            <w:pPr>
              <w:spacing w:line="257" w:lineRule="auto"/>
              <w:jc w:val="center"/>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在不直接涉及公共安全和人民群众生命健康的领域，对医疗器械批发等行业高频办理的经营许可证，允许企业在设立经营项目相同的分支机构时，作出相应承诺后，可以不再办理相同的行政许可证，便利企业扩大经营规模。</w:t>
            </w:r>
          </w:p>
        </w:tc>
        <w:tc>
          <w:tcPr>
            <w:tcW w:w="1732" w:type="dxa"/>
            <w:vAlign w:val="center"/>
          </w:tcPr>
          <w:p>
            <w:pPr>
              <w:spacing w:line="257" w:lineRule="auto"/>
              <w:jc w:val="both"/>
              <w:rPr>
                <w:rFonts w:hint="eastAsia" w:ascii="微软雅黑" w:hAnsi="微软雅黑" w:eastAsia="微软雅黑" w:cs="微软雅黑"/>
                <w:sz w:val="22"/>
                <w:szCs w:val="22"/>
              </w:rPr>
            </w:pPr>
          </w:p>
          <w:p>
            <w:pPr>
              <w:spacing w:line="257" w:lineRule="auto"/>
              <w:jc w:val="center"/>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2023年12月31</w:t>
            </w:r>
            <w:r>
              <w:rPr>
                <w:rFonts w:hint="eastAsia" w:ascii="微软雅黑" w:hAnsi="微软雅黑" w:eastAsia="微软雅黑" w:cs="微软雅黑"/>
                <w:sz w:val="22"/>
                <w:szCs w:val="22"/>
              </w:rPr>
              <w:t>日</w:t>
            </w:r>
          </w:p>
        </w:tc>
        <w:tc>
          <w:tcPr>
            <w:tcW w:w="2087" w:type="dxa"/>
            <w:vAlign w:val="center"/>
          </w:tcPr>
          <w:p>
            <w:pPr>
              <w:spacing w:line="257" w:lineRule="auto"/>
              <w:jc w:val="both"/>
              <w:rPr>
                <w:rFonts w:hint="eastAsia" w:ascii="微软雅黑" w:hAnsi="微软雅黑" w:eastAsia="微软雅黑" w:cs="微软雅黑"/>
                <w:spacing w:val="0"/>
                <w:w w:val="100"/>
                <w:sz w:val="22"/>
                <w:szCs w:val="22"/>
                <w:lang w:eastAsia="zh-CN"/>
              </w:rPr>
            </w:pPr>
          </w:p>
          <w:p>
            <w:pPr>
              <w:spacing w:line="257" w:lineRule="auto"/>
              <w:jc w:val="center"/>
              <w:rPr>
                <w:rFonts w:hint="eastAsia" w:ascii="微软雅黑" w:hAnsi="微软雅黑" w:eastAsia="微软雅黑" w:cs="微软雅黑"/>
                <w:spacing w:val="0"/>
                <w:w w:val="100"/>
                <w:sz w:val="22"/>
                <w:szCs w:val="22"/>
                <w:lang w:eastAsia="zh-CN"/>
              </w:rPr>
            </w:pPr>
            <w:r>
              <w:rPr>
                <w:rFonts w:hint="eastAsia" w:ascii="微软雅黑" w:hAnsi="微软雅黑" w:eastAsia="微软雅黑" w:cs="微软雅黑"/>
                <w:spacing w:val="0"/>
                <w:w w:val="100"/>
                <w:sz w:val="22"/>
                <w:szCs w:val="22"/>
                <w:lang w:eastAsia="zh-CN"/>
              </w:rPr>
              <w:t>区市场监管局</w:t>
            </w:r>
          </w:p>
        </w:tc>
        <w:tc>
          <w:tcPr>
            <w:tcW w:w="1927" w:type="dxa"/>
            <w:vAlign w:val="center"/>
          </w:tcPr>
          <w:p>
            <w:pPr>
              <w:spacing w:line="257" w:lineRule="auto"/>
              <w:jc w:val="both"/>
              <w:rPr>
                <w:rFonts w:hint="eastAsia" w:ascii="微软雅黑" w:hAnsi="微软雅黑" w:eastAsia="微软雅黑" w:cs="微软雅黑"/>
                <w:sz w:val="22"/>
                <w:szCs w:val="22"/>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区卫健局</w:t>
            </w:r>
          </w:p>
        </w:tc>
      </w:tr>
    </w:tbl>
    <w:p>
      <w:pPr>
        <w:spacing w:line="257" w:lineRule="auto"/>
        <w:rPr>
          <w:rFonts w:hint="eastAsia" w:ascii="微软雅黑" w:hAnsi="微软雅黑" w:eastAsia="微软雅黑" w:cs="微软雅黑"/>
          <w:sz w:val="22"/>
          <w:szCs w:val="22"/>
        </w:rPr>
      </w:pPr>
    </w:p>
    <w:p>
      <w:pPr>
        <w:spacing w:line="257" w:lineRule="auto"/>
        <w:rPr>
          <w:rFonts w:hint="eastAsia" w:ascii="微软雅黑" w:hAnsi="微软雅黑" w:eastAsia="微软雅黑" w:cs="微软雅黑"/>
          <w:sz w:val="22"/>
          <w:szCs w:val="22"/>
        </w:rPr>
        <w:sectPr>
          <w:footerReference r:id="rId10" w:type="default"/>
          <w:pgSz w:w="16838" w:h="11906"/>
          <w:pgMar w:top="400" w:right="2097" w:bottom="1514" w:left="2127" w:header="0" w:footer="1282" w:gutter="0"/>
          <w:pgNumType w:fmt="numberInDash"/>
          <w:cols w:equalWidth="0" w:num="1">
            <w:col w:w="12614"/>
          </w:cols>
        </w:sectPr>
      </w:pPr>
    </w:p>
    <w:p>
      <w:pPr>
        <w:spacing w:before="0" w:line="257" w:lineRule="auto"/>
        <w:rPr>
          <w:rFonts w:hint="eastAsia" w:ascii="微软雅黑" w:hAnsi="微软雅黑" w:eastAsia="微软雅黑" w:cs="微软雅黑"/>
          <w:sz w:val="22"/>
          <w:szCs w:val="22"/>
        </w:rPr>
      </w:pPr>
    </w:p>
    <w:tbl>
      <w:tblPr>
        <w:tblStyle w:val="8"/>
        <w:tblW w:w="12426"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eastAsia="zh-CN"/>
              </w:rPr>
              <w:t>4</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开办</w:t>
            </w:r>
            <w:r>
              <w:rPr>
                <w:rFonts w:hint="eastAsia" w:ascii="微软雅黑" w:hAnsi="微软雅黑" w:eastAsia="微软雅黑" w:cs="微软雅黑"/>
                <w:spacing w:val="0"/>
                <w:sz w:val="22"/>
                <w:szCs w:val="22"/>
                <w:lang w:eastAsia="zh-CN"/>
              </w:rPr>
              <w:t>企业</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完善柳州数字标准地名地址库</w:t>
            </w:r>
          </w:p>
        </w:tc>
        <w:tc>
          <w:tcPr>
            <w:tcW w:w="3262" w:type="dxa"/>
            <w:vAlign w:val="top"/>
          </w:tcPr>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完善全市数字标准地名地址库，为开办企业实施住所（经营场所）标准化登记提供信息化支撑。</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市公安局柳北分局，</w:t>
            </w:r>
            <w:r>
              <w:rPr>
                <w:rFonts w:hint="eastAsia" w:ascii="微软雅黑" w:hAnsi="微软雅黑" w:eastAsia="微软雅黑" w:cs="微软雅黑"/>
                <w:spacing w:val="0"/>
                <w:sz w:val="22"/>
                <w:szCs w:val="22"/>
                <w:lang w:eastAsia="zh-CN"/>
              </w:rPr>
              <w:t>市</w:t>
            </w:r>
            <w:bookmarkStart w:id="0" w:name="_GoBack"/>
            <w:r>
              <w:rPr>
                <w:rFonts w:hint="eastAsia" w:ascii="微软雅黑" w:hAnsi="微软雅黑" w:eastAsia="微软雅黑" w:cs="微软雅黑"/>
                <w:spacing w:val="0"/>
                <w:sz w:val="22"/>
                <w:szCs w:val="22"/>
                <w:lang w:eastAsia="zh-CN"/>
              </w:rPr>
              <w:t>场监管局</w:t>
            </w:r>
            <w:bookmarkEnd w:id="0"/>
            <w:r>
              <w:rPr>
                <w:rFonts w:hint="eastAsia" w:ascii="微软雅黑" w:hAnsi="微软雅黑" w:eastAsia="微软雅黑" w:cs="微软雅黑"/>
                <w:spacing w:val="0"/>
                <w:sz w:val="22"/>
                <w:szCs w:val="22"/>
                <w:lang w:eastAsia="zh-CN"/>
              </w:rPr>
              <w:t>、自然资源局、</w:t>
            </w:r>
            <w:r>
              <w:rPr>
                <w:rFonts w:hint="eastAsia" w:ascii="微软雅黑" w:hAnsi="微软雅黑" w:eastAsia="微软雅黑" w:cs="微软雅黑"/>
                <w:spacing w:val="0"/>
                <w:w w:val="100"/>
                <w:sz w:val="22"/>
                <w:szCs w:val="22"/>
                <w:lang w:eastAsia="zh-CN"/>
              </w:rPr>
              <w:t>民政局、住建局</w:t>
            </w:r>
            <w:r>
              <w:rPr>
                <w:rFonts w:hint="eastAsia" w:ascii="微软雅黑" w:hAnsi="微软雅黑" w:eastAsia="微软雅黑" w:cs="微软雅黑"/>
                <w:spacing w:val="0"/>
                <w:sz w:val="22"/>
                <w:szCs w:val="22"/>
                <w:lang w:eastAsia="zh-CN"/>
              </w:rPr>
              <w:t>按职责分工负责</w:t>
            </w:r>
          </w:p>
        </w:tc>
        <w:tc>
          <w:tcPr>
            <w:tcW w:w="1927" w:type="dxa"/>
            <w:vAlign w:val="top"/>
          </w:tcPr>
          <w:p>
            <w:pPr>
              <w:shd w:val="clea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shd w:val="clear"/>
                <w:lang w:eastAsia="zh-CN"/>
              </w:rPr>
              <w:t>区政管办，各有关单位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6"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eastAsia="zh-CN"/>
              </w:rPr>
              <w:t>5</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开办</w:t>
            </w:r>
            <w:r>
              <w:rPr>
                <w:rFonts w:hint="eastAsia" w:ascii="微软雅黑" w:hAnsi="微软雅黑" w:eastAsia="微软雅黑" w:cs="微软雅黑"/>
                <w:spacing w:val="0"/>
                <w:sz w:val="22"/>
                <w:szCs w:val="22"/>
                <w:lang w:eastAsia="zh-CN"/>
              </w:rPr>
              <w:t>企业</w:t>
            </w:r>
          </w:p>
        </w:tc>
        <w:tc>
          <w:tcPr>
            <w:tcW w:w="1828" w:type="dxa"/>
            <w:vAlign w:val="top"/>
          </w:tcPr>
          <w:p>
            <w:pPr>
              <w:spacing w:line="257" w:lineRule="auto"/>
              <w:rPr>
                <w:rFonts w:hint="eastAsia" w:ascii="微软雅黑" w:hAnsi="微软雅黑" w:eastAsia="微软雅黑" w:cs="微软雅黑"/>
                <w:sz w:val="22"/>
                <w:szCs w:val="22"/>
              </w:rPr>
            </w:pPr>
          </w:p>
          <w:p>
            <w:pPr>
              <w:spacing w:line="257" w:lineRule="auto"/>
              <w:rPr>
                <w:rFonts w:hint="eastAsia" w:ascii="微软雅黑" w:hAnsi="微软雅黑" w:eastAsia="微软雅黑" w:cs="微软雅黑"/>
                <w:sz w:val="22"/>
                <w:szCs w:val="22"/>
              </w:rPr>
            </w:pPr>
          </w:p>
          <w:p>
            <w:pPr>
              <w:spacing w:line="257" w:lineRule="auto"/>
              <w:rPr>
                <w:rFonts w:hint="eastAsia" w:ascii="微软雅黑" w:hAnsi="微软雅黑" w:eastAsia="微软雅黑" w:cs="微软雅黑"/>
                <w:sz w:val="22"/>
                <w:szCs w:val="22"/>
              </w:rPr>
            </w:pPr>
          </w:p>
          <w:p>
            <w:pPr>
              <w:spacing w:line="257" w:lineRule="auto"/>
              <w:rPr>
                <w:rFonts w:hint="eastAsia" w:ascii="微软雅黑" w:hAnsi="微软雅黑" w:eastAsia="微软雅黑" w:cs="微软雅黑"/>
                <w:sz w:val="22"/>
                <w:szCs w:val="22"/>
              </w:rPr>
            </w:pPr>
          </w:p>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推行企业住所与经营场所标准化登记</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lang w:eastAsia="zh-CN"/>
              </w:rPr>
              <w:t>配合市级</w:t>
            </w:r>
            <w:r>
              <w:rPr>
                <w:rFonts w:hint="eastAsia" w:ascii="微软雅黑" w:hAnsi="微软雅黑" w:eastAsia="微软雅黑" w:cs="微软雅黑"/>
                <w:spacing w:val="0"/>
                <w:sz w:val="22"/>
                <w:szCs w:val="22"/>
              </w:rPr>
              <w:t>将柳州市数字标准地名地址库应用于企业登记注册业务工作，实现住所房屋产权证明信息、不动产权证书编号、路名等信息与数字标准地址数据信息在线比对核验，在便利住所登记的同时，防患虚假住所（经营场所）等突出风险，进一步提升登记机关对企业申报地址真实性的识别效能。</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区市场监管局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区政管办，市公安局柳北分局，民政局、住建局、自然资源局</w:t>
            </w:r>
          </w:p>
        </w:tc>
      </w:tr>
    </w:tbl>
    <w:p>
      <w:pPr>
        <w:spacing w:line="257" w:lineRule="auto"/>
        <w:rPr>
          <w:rFonts w:hint="eastAsia" w:ascii="微软雅黑" w:hAnsi="微软雅黑" w:eastAsia="微软雅黑" w:cs="微软雅黑"/>
          <w:sz w:val="22"/>
          <w:szCs w:val="22"/>
        </w:rPr>
      </w:pPr>
    </w:p>
    <w:p>
      <w:pPr>
        <w:spacing w:line="257" w:lineRule="auto"/>
        <w:rPr>
          <w:rFonts w:hint="eastAsia" w:ascii="微软雅黑" w:hAnsi="微软雅黑" w:eastAsia="微软雅黑" w:cs="微软雅黑"/>
          <w:sz w:val="22"/>
          <w:szCs w:val="22"/>
        </w:rPr>
        <w:sectPr>
          <w:pgSz w:w="16838" w:h="11906"/>
          <w:pgMar w:top="400" w:right="2203" w:bottom="1514" w:left="2104"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p>
      <w:pPr>
        <w:spacing w:before="0" w:line="257" w:lineRule="auto"/>
        <w:rPr>
          <w:rFonts w:hint="eastAsia" w:ascii="微软雅黑" w:hAnsi="微软雅黑" w:eastAsia="微软雅黑" w:cs="微软雅黑"/>
          <w:sz w:val="22"/>
          <w:szCs w:val="22"/>
        </w:rPr>
      </w:pPr>
    </w:p>
    <w:tbl>
      <w:tblPr>
        <w:tblStyle w:val="8"/>
        <w:tblW w:w="12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3" w:hRule="atLeast"/>
        </w:trPr>
        <w:tc>
          <w:tcPr>
            <w:tcW w:w="715" w:type="dxa"/>
            <w:vAlign w:val="top"/>
          </w:tcPr>
          <w:p>
            <w:pPr>
              <w:spacing w:line="257" w:lineRule="auto"/>
              <w:ind w:firstLine="220" w:firstLineChars="100"/>
              <w:rPr>
                <w:rFonts w:hint="eastAsia" w:ascii="微软雅黑" w:hAnsi="微软雅黑" w:eastAsia="微软雅黑" w:cs="微软雅黑"/>
                <w:sz w:val="22"/>
                <w:szCs w:val="22"/>
              </w:rPr>
            </w:pPr>
          </w:p>
          <w:p>
            <w:pPr>
              <w:spacing w:line="257" w:lineRule="auto"/>
              <w:ind w:firstLine="220" w:firstLineChars="100"/>
              <w:rPr>
                <w:rFonts w:hint="eastAsia" w:ascii="微软雅黑" w:hAnsi="微软雅黑" w:eastAsia="微软雅黑" w:cs="微软雅黑"/>
                <w:sz w:val="22"/>
                <w:szCs w:val="22"/>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rPr>
            </w:pPr>
            <w:r>
              <w:rPr>
                <w:rFonts w:hint="eastAsia" w:ascii="微软雅黑" w:hAnsi="微软雅黑" w:eastAsia="微软雅黑" w:cs="微软雅黑"/>
                <w:sz w:val="22"/>
                <w:szCs w:val="22"/>
                <w:lang w:eastAsia="zh-CN"/>
              </w:rPr>
              <w:t>6</w:t>
            </w:r>
          </w:p>
        </w:tc>
        <w:tc>
          <w:tcPr>
            <w:tcW w:w="875" w:type="dxa"/>
            <w:vAlign w:val="top"/>
          </w:tcPr>
          <w:p>
            <w:pPr>
              <w:spacing w:line="257" w:lineRule="auto"/>
              <w:jc w:val="center"/>
              <w:rPr>
                <w:rFonts w:hint="eastAsia" w:ascii="微软雅黑" w:hAnsi="微软雅黑" w:eastAsia="微软雅黑" w:cs="微软雅黑"/>
                <w:sz w:val="22"/>
                <w:szCs w:val="22"/>
              </w:rPr>
            </w:pPr>
          </w:p>
          <w:p>
            <w:pPr>
              <w:spacing w:line="257" w:lineRule="auto"/>
              <w:jc w:val="center"/>
              <w:rPr>
                <w:rFonts w:hint="eastAsia" w:ascii="微软雅黑" w:hAnsi="微软雅黑" w:eastAsia="微软雅黑" w:cs="微软雅黑"/>
                <w:sz w:val="22"/>
                <w:szCs w:val="22"/>
              </w:rPr>
            </w:pPr>
          </w:p>
          <w:p>
            <w:pPr>
              <w:spacing w:line="257" w:lineRule="auto"/>
              <w:jc w:val="center"/>
              <w:rPr>
                <w:rFonts w:hint="eastAsia" w:ascii="微软雅黑" w:hAnsi="微软雅黑" w:eastAsia="微软雅黑" w:cs="微软雅黑"/>
                <w:sz w:val="22"/>
                <w:szCs w:val="22"/>
              </w:rPr>
            </w:pPr>
          </w:p>
          <w:p>
            <w:pPr>
              <w:spacing w:line="257" w:lineRule="auto"/>
              <w:jc w:val="center"/>
              <w:rPr>
                <w:rFonts w:hint="eastAsia" w:ascii="微软雅黑" w:hAnsi="微软雅黑" w:eastAsia="微软雅黑" w:cs="微软雅黑"/>
                <w:sz w:val="22"/>
                <w:szCs w:val="22"/>
              </w:rPr>
            </w:pPr>
          </w:p>
          <w:p>
            <w:pPr>
              <w:autoSpaceDE/>
              <w:autoSpaceDN/>
              <w:spacing w:line="257" w:lineRule="auto"/>
              <w:jc w:val="center"/>
              <w:rPr>
                <w:rFonts w:hint="eastAsia" w:ascii="微软雅黑" w:hAnsi="微软雅黑" w:eastAsia="微软雅黑" w:cs="微软雅黑"/>
                <w:sz w:val="22"/>
                <w:szCs w:val="22"/>
              </w:rPr>
            </w:pPr>
            <w:r>
              <w:rPr>
                <w:rFonts w:hint="eastAsia" w:ascii="微软雅黑" w:hAnsi="微软雅黑" w:eastAsia="微软雅黑" w:cs="微软雅黑"/>
                <w:spacing w:val="0"/>
                <w:w w:val="100"/>
                <w:sz w:val="22"/>
                <w:szCs w:val="22"/>
              </w:rPr>
              <w:t>开办</w:t>
            </w:r>
            <w:r>
              <w:rPr>
                <w:rFonts w:hint="eastAsia" w:ascii="微软雅黑" w:hAnsi="微软雅黑" w:eastAsia="微软雅黑" w:cs="微软雅黑"/>
                <w:spacing w:val="0"/>
                <w:sz w:val="22"/>
                <w:szCs w:val="22"/>
              </w:rPr>
              <w:t>企业</w:t>
            </w:r>
          </w:p>
        </w:tc>
        <w:tc>
          <w:tcPr>
            <w:tcW w:w="1828" w:type="dxa"/>
            <w:vAlign w:val="top"/>
          </w:tcPr>
          <w:p>
            <w:pPr>
              <w:spacing w:line="257" w:lineRule="auto"/>
              <w:jc w:val="center"/>
              <w:rPr>
                <w:rFonts w:hint="eastAsia" w:ascii="微软雅黑" w:hAnsi="微软雅黑" w:eastAsia="微软雅黑" w:cs="微软雅黑"/>
                <w:sz w:val="22"/>
                <w:szCs w:val="22"/>
              </w:rPr>
            </w:pPr>
          </w:p>
          <w:p>
            <w:pPr>
              <w:spacing w:line="257" w:lineRule="auto"/>
              <w:jc w:val="center"/>
              <w:rPr>
                <w:rFonts w:hint="eastAsia" w:ascii="微软雅黑" w:hAnsi="微软雅黑" w:eastAsia="微软雅黑" w:cs="微软雅黑"/>
                <w:sz w:val="22"/>
                <w:szCs w:val="22"/>
              </w:rPr>
            </w:pPr>
          </w:p>
          <w:p>
            <w:pPr>
              <w:spacing w:line="257" w:lineRule="auto"/>
              <w:jc w:val="center"/>
              <w:rPr>
                <w:rFonts w:hint="eastAsia" w:ascii="微软雅黑" w:hAnsi="微软雅黑" w:eastAsia="微软雅黑" w:cs="微软雅黑"/>
                <w:sz w:val="22"/>
                <w:szCs w:val="22"/>
              </w:rPr>
            </w:pPr>
          </w:p>
          <w:p>
            <w:pPr>
              <w:spacing w:line="257" w:lineRule="auto"/>
              <w:jc w:val="center"/>
              <w:rPr>
                <w:rFonts w:hint="eastAsia" w:ascii="微软雅黑" w:hAnsi="微软雅黑" w:eastAsia="微软雅黑" w:cs="微软雅黑"/>
                <w:sz w:val="22"/>
                <w:szCs w:val="22"/>
              </w:rPr>
            </w:pPr>
          </w:p>
          <w:p>
            <w:pPr>
              <w:spacing w:line="257" w:lineRule="auto"/>
              <w:jc w:val="center"/>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探索复制推行“企业服务码”试点范围</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争取上级主管部门支持，在全市探索复制推行中国（广西）自由贸易试验区南宁片区“企业服务码”国家试点经验，把企业经营所涉及的许可事项相关信息关联整合到企业名下，依托统一社会信用代码和营业执照二维码，推进市场主体证照信息的整合</w:t>
            </w:r>
            <w:r>
              <w:rPr>
                <w:rFonts w:hint="eastAsia" w:ascii="微软雅黑" w:hAnsi="微软雅黑" w:eastAsia="微软雅黑" w:cs="微软雅黑"/>
                <w:sz w:val="22"/>
                <w:szCs w:val="22"/>
              </w:rPr>
              <w:t>应用。</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区市场监管局、发改局</w:t>
            </w:r>
            <w:r>
              <w:rPr>
                <w:rFonts w:hint="eastAsia" w:ascii="微软雅黑" w:hAnsi="微软雅黑" w:eastAsia="微软雅黑" w:cs="微软雅黑"/>
                <w:spacing w:val="0"/>
                <w:sz w:val="22"/>
                <w:szCs w:val="22"/>
                <w:lang w:eastAsia="zh-CN"/>
              </w:rPr>
              <w:t>局按职责分工负责</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4"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val="en-US"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val="en-US" w:eastAsia="zh-CN"/>
              </w:rPr>
              <w:t>7</w:t>
            </w:r>
          </w:p>
        </w:tc>
        <w:tc>
          <w:tcPr>
            <w:tcW w:w="87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autoSpaceDE/>
              <w:autoSpaceDN/>
              <w:spacing w:line="257" w:lineRule="auto"/>
              <w:ind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开办</w:t>
            </w:r>
            <w:r>
              <w:rPr>
                <w:rFonts w:hint="eastAsia" w:ascii="微软雅黑" w:hAnsi="微软雅黑" w:eastAsia="微软雅黑" w:cs="微软雅黑"/>
                <w:spacing w:val="0"/>
                <w:sz w:val="22"/>
                <w:szCs w:val="22"/>
                <w:lang w:eastAsia="zh-CN"/>
              </w:rPr>
              <w:t>企业</w:t>
            </w:r>
          </w:p>
        </w:tc>
        <w:tc>
          <w:tcPr>
            <w:tcW w:w="1828"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实行“一照多址、一市一照”</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允许市内经营的企业分支机构将其经营场所登记在隶属商事主体营业执照上，无需另行办理</w:t>
            </w:r>
            <w:r>
              <w:rPr>
                <w:rFonts w:hint="eastAsia" w:ascii="微软雅黑" w:hAnsi="微软雅黑" w:eastAsia="微软雅黑" w:cs="微软雅黑"/>
                <w:sz w:val="22"/>
                <w:szCs w:val="22"/>
              </w:rPr>
              <w:t>分支机构营业执照。</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区市场监管局</w:t>
            </w:r>
          </w:p>
        </w:tc>
        <w:tc>
          <w:tcPr>
            <w:tcW w:w="1927" w:type="dxa"/>
            <w:vAlign w:val="top"/>
          </w:tcPr>
          <w:p>
            <w:pPr>
              <w:spacing w:line="257" w:lineRule="auto"/>
              <w:jc w:val="center"/>
              <w:rPr>
                <w:rFonts w:hint="eastAsia" w:ascii="微软雅黑" w:hAnsi="微软雅黑" w:eastAsia="微软雅黑" w:cs="微软雅黑"/>
                <w:sz w:val="22"/>
                <w:szCs w:val="22"/>
                <w:lang w:val="en-US" w:eastAsia="zh-CN"/>
              </w:rPr>
            </w:pPr>
          </w:p>
          <w:p>
            <w:pPr>
              <w:spacing w:line="257" w:lineRule="auto"/>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pacing w:val="0"/>
                <w:sz w:val="22"/>
                <w:szCs w:val="22"/>
                <w:lang w:val="en-US" w:eastAsia="zh-CN"/>
              </w:rPr>
              <w:t>政管办、</w:t>
            </w:r>
            <w:r>
              <w:rPr>
                <w:rFonts w:hint="eastAsia" w:ascii="微软雅黑" w:hAnsi="微软雅黑" w:eastAsia="微软雅黑" w:cs="微软雅黑"/>
                <w:spacing w:val="0"/>
                <w:w w:val="100"/>
                <w:sz w:val="22"/>
                <w:szCs w:val="22"/>
                <w:lang w:eastAsia="zh-CN"/>
              </w:rPr>
              <w:t>政务网络服务中心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8" w:hRule="atLeast"/>
        </w:trPr>
        <w:tc>
          <w:tcPr>
            <w:tcW w:w="715" w:type="dxa"/>
            <w:vAlign w:val="top"/>
          </w:tcPr>
          <w:p>
            <w:pPr>
              <w:spacing w:before="0" w:line="257" w:lineRule="auto"/>
              <w:ind w:left="0"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eastAsia="zh-CN"/>
              </w:rPr>
              <w:t>8</w:t>
            </w:r>
          </w:p>
        </w:tc>
        <w:tc>
          <w:tcPr>
            <w:tcW w:w="87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开办</w:t>
            </w:r>
            <w:r>
              <w:rPr>
                <w:rFonts w:hint="eastAsia" w:ascii="微软雅黑" w:hAnsi="微软雅黑" w:eastAsia="微软雅黑" w:cs="微软雅黑"/>
                <w:spacing w:val="0"/>
                <w:sz w:val="22"/>
                <w:szCs w:val="22"/>
                <w:lang w:eastAsia="zh-CN"/>
              </w:rPr>
              <w:t>企业</w:t>
            </w:r>
          </w:p>
        </w:tc>
        <w:tc>
          <w:tcPr>
            <w:tcW w:w="1828" w:type="dxa"/>
            <w:vAlign w:val="top"/>
          </w:tcPr>
          <w:p>
            <w:pPr>
              <w:spacing w:line="257" w:lineRule="auto"/>
              <w:ind w:firstLine="0" w:firstLineChars="0"/>
              <w:jc w:val="center"/>
              <w:rPr>
                <w:rFonts w:hint="eastAsia" w:ascii="微软雅黑" w:hAnsi="微软雅黑" w:eastAsia="微软雅黑" w:cs="微软雅黑"/>
                <w:spacing w:val="0"/>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推行市场监管领域准入一体化登</w:t>
            </w:r>
            <w:r>
              <w:rPr>
                <w:rFonts w:hint="eastAsia" w:ascii="微软雅黑" w:hAnsi="微软雅黑" w:eastAsia="微软雅黑" w:cs="微软雅黑"/>
                <w:sz w:val="22"/>
                <w:szCs w:val="22"/>
                <w:lang w:eastAsia="zh-CN"/>
              </w:rPr>
              <w:t>记</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推行市场监管领域准入一体化登记，实现“企业登记注册”等更多高频事项“一件事一次办”，探索变更登记“一键通”改革。</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区市场监管局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br w:type="textWrapping"/>
            </w:r>
            <w:r>
              <w:rPr>
                <w:rFonts w:hint="eastAsia" w:ascii="微软雅黑" w:hAnsi="微软雅黑" w:eastAsia="微软雅黑" w:cs="微软雅黑"/>
                <w:spacing w:val="0"/>
                <w:w w:val="100"/>
                <w:sz w:val="22"/>
                <w:szCs w:val="22"/>
                <w:lang w:eastAsia="zh-CN"/>
              </w:rPr>
              <w:t>政管办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eastAsia="zh-CN"/>
              </w:rPr>
              <w:t>9</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开办</w:t>
            </w:r>
            <w:r>
              <w:rPr>
                <w:rFonts w:hint="eastAsia" w:ascii="微软雅黑" w:hAnsi="微软雅黑" w:eastAsia="微软雅黑" w:cs="微软雅黑"/>
                <w:spacing w:val="0"/>
                <w:sz w:val="22"/>
                <w:szCs w:val="22"/>
                <w:lang w:eastAsia="zh-CN"/>
              </w:rPr>
              <w:t>企业</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落实歇业备案制</w:t>
            </w:r>
            <w:r>
              <w:rPr>
                <w:rFonts w:hint="eastAsia" w:ascii="微软雅黑" w:hAnsi="微软雅黑" w:eastAsia="微软雅黑" w:cs="微软雅黑"/>
                <w:sz w:val="22"/>
                <w:szCs w:val="22"/>
                <w:lang w:eastAsia="zh-CN"/>
              </w:rPr>
              <w:t>度</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lang w:eastAsia="zh-CN"/>
              </w:rPr>
              <w:t>配合</w:t>
            </w:r>
            <w:r>
              <w:rPr>
                <w:rFonts w:hint="eastAsia" w:ascii="微软雅黑" w:hAnsi="微软雅黑" w:eastAsia="微软雅黑" w:cs="微软雅黑"/>
                <w:spacing w:val="0"/>
                <w:sz w:val="22"/>
                <w:szCs w:val="22"/>
              </w:rPr>
              <w:t>落实市级社保相应配套措施，使歇业制度在帮扶市场主体纾困解难中发挥更积极的作用。</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区人社局，柳北税务局按职责分工负责</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区市场监管局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715" w:type="dxa"/>
            <w:vAlign w:val="top"/>
          </w:tcPr>
          <w:p>
            <w:pPr>
              <w:spacing w:before="104" w:line="242" w:lineRule="auto"/>
              <w:ind w:left="138" w:leftChars="0"/>
              <w:jc w:val="center"/>
              <w:rPr>
                <w:rFonts w:hint="eastAsia" w:ascii="微软雅黑" w:hAnsi="微软雅黑" w:eastAsia="微软雅黑" w:cs="微软雅黑"/>
                <w:spacing w:val="0"/>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leftChars="0"/>
              <w:jc w:val="center"/>
              <w:rPr>
                <w:rFonts w:hint="eastAsia" w:ascii="微软雅黑" w:hAnsi="微软雅黑" w:eastAsia="微软雅黑" w:cs="微软雅黑"/>
                <w:spacing w:val="0"/>
                <w:w w:val="100"/>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leftChars="0"/>
              <w:jc w:val="center"/>
              <w:rPr>
                <w:rFonts w:hint="eastAsia" w:ascii="微软雅黑" w:hAnsi="微软雅黑" w:eastAsia="微软雅黑" w:cs="微软雅黑"/>
                <w:spacing w:val="0"/>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leftChars="0"/>
              <w:jc w:val="center"/>
              <w:rPr>
                <w:rFonts w:hint="eastAsia" w:ascii="微软雅黑" w:hAnsi="微软雅黑" w:eastAsia="微软雅黑" w:cs="微软雅黑"/>
                <w:spacing w:val="0"/>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leftChars="0"/>
              <w:jc w:val="center"/>
              <w:rPr>
                <w:rFonts w:hint="eastAsia" w:ascii="微软雅黑" w:hAnsi="微软雅黑" w:eastAsia="微软雅黑" w:cs="微软雅黑"/>
                <w:spacing w:val="0"/>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leftChars="0"/>
              <w:jc w:val="center"/>
              <w:rPr>
                <w:rFonts w:hint="eastAsia" w:ascii="微软雅黑" w:hAnsi="微软雅黑" w:eastAsia="微软雅黑" w:cs="微软雅黑"/>
                <w:spacing w:val="0"/>
                <w:w w:val="100"/>
                <w:sz w:val="22"/>
                <w:szCs w:val="22"/>
                <w:lang w:eastAsia="zh-CN"/>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left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7"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10</w:t>
            </w:r>
          </w:p>
        </w:tc>
        <w:tc>
          <w:tcPr>
            <w:tcW w:w="875" w:type="dxa"/>
            <w:vAlign w:val="top"/>
          </w:tcPr>
          <w:p>
            <w:pPr>
              <w:spacing w:line="257" w:lineRule="auto"/>
              <w:jc w:val="center"/>
              <w:rPr>
                <w:rFonts w:hint="eastAsia" w:ascii="微软雅黑" w:hAnsi="微软雅黑" w:eastAsia="微软雅黑" w:cs="微软雅黑"/>
                <w:spacing w:val="0"/>
                <w:w w:val="10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开办</w:t>
            </w:r>
            <w:r>
              <w:rPr>
                <w:rFonts w:hint="eastAsia" w:ascii="微软雅黑" w:hAnsi="微软雅黑" w:eastAsia="微软雅黑" w:cs="微软雅黑"/>
                <w:spacing w:val="0"/>
                <w:sz w:val="22"/>
                <w:szCs w:val="22"/>
                <w:lang w:eastAsia="zh-CN"/>
              </w:rPr>
              <w:t>企业</w:t>
            </w:r>
          </w:p>
        </w:tc>
        <w:tc>
          <w:tcPr>
            <w:tcW w:w="1828"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提高新登记企业网上办理率</w:t>
            </w:r>
          </w:p>
        </w:tc>
        <w:tc>
          <w:tcPr>
            <w:tcW w:w="3262" w:type="dxa"/>
            <w:vAlign w:val="top"/>
          </w:tcPr>
          <w:p>
            <w:pPr>
              <w:spacing w:line="257" w:lineRule="auto"/>
              <w:rPr>
                <w:rFonts w:hint="eastAsia" w:ascii="微软雅黑" w:hAnsi="微软雅黑" w:eastAsia="微软雅黑" w:cs="微软雅黑"/>
                <w:spacing w:val="0"/>
                <w:sz w:val="22"/>
                <w:szCs w:val="22"/>
              </w:rPr>
            </w:pPr>
          </w:p>
          <w:p>
            <w:pPr>
              <w:spacing w:line="257" w:lineRule="auto"/>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新登记企业全程网办率达到95%。</w:t>
            </w:r>
          </w:p>
        </w:tc>
        <w:tc>
          <w:tcPr>
            <w:tcW w:w="1732"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pacing w:val="0"/>
                <w:w w:val="10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区市场监管局、政管办</w:t>
            </w:r>
          </w:p>
        </w:tc>
        <w:tc>
          <w:tcPr>
            <w:tcW w:w="1927" w:type="dxa"/>
            <w:vAlign w:val="top"/>
          </w:tcPr>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市公安局柳北分局，人社局、住建局，柳北税务局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7"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11</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w w:val="100"/>
                <w:sz w:val="22"/>
                <w:szCs w:val="22"/>
                <w:lang w:eastAsia="zh-CN"/>
              </w:rPr>
            </w:pPr>
            <w:r>
              <w:rPr>
                <w:rFonts w:hint="eastAsia" w:ascii="微软雅黑" w:hAnsi="微软雅黑" w:eastAsia="微软雅黑" w:cs="微软雅黑"/>
                <w:spacing w:val="0"/>
                <w:w w:val="100"/>
                <w:sz w:val="22"/>
                <w:szCs w:val="22"/>
                <w:lang w:eastAsia="zh-CN"/>
              </w:rPr>
              <w:t>开办</w:t>
            </w:r>
            <w:r>
              <w:rPr>
                <w:rFonts w:hint="eastAsia" w:ascii="微软雅黑" w:hAnsi="微软雅黑" w:eastAsia="微软雅黑" w:cs="微软雅黑"/>
                <w:spacing w:val="0"/>
                <w:sz w:val="22"/>
                <w:szCs w:val="22"/>
                <w:lang w:eastAsia="zh-CN"/>
              </w:rPr>
              <w:t>企业</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color w:val="000000"/>
                <w:spacing w:val="0"/>
                <w:sz w:val="22"/>
                <w:szCs w:val="22"/>
                <w:lang w:eastAsia="zh-CN"/>
              </w:rPr>
              <w:t>全面实施市场准入负面清单制度</w:t>
            </w:r>
          </w:p>
        </w:tc>
        <w:tc>
          <w:tcPr>
            <w:tcW w:w="3262" w:type="dxa"/>
            <w:vAlign w:val="top"/>
          </w:tcPr>
          <w:p>
            <w:pPr>
              <w:spacing w:line="257" w:lineRule="auto"/>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全面实施市场准入负面清单制度，严格落实“全国一张清单”管理模式。研究建立健全市场准入负面清单事项与现有审批流程相适应的准入机制和审批机制，推动落实清单事项网上办理，做好实施市场准入的相关信息公开工作。落实市场准入负面清单案例归集和通报制度，畅通市场主体对隐性壁垒的意见反馈渠道，完善处理回应机制。</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w w:val="100"/>
                <w:sz w:val="22"/>
                <w:szCs w:val="22"/>
                <w:lang w:eastAsia="zh-CN"/>
              </w:rPr>
            </w:pPr>
            <w:r>
              <w:rPr>
                <w:rFonts w:hint="eastAsia" w:ascii="微软雅黑" w:hAnsi="微软雅黑" w:eastAsia="微软雅黑" w:cs="微软雅黑"/>
                <w:spacing w:val="0"/>
                <w:w w:val="100"/>
                <w:sz w:val="22"/>
                <w:szCs w:val="22"/>
                <w:lang w:eastAsia="zh-CN"/>
              </w:rPr>
              <w:t>区发改局、商务局、市场监管局、政管办</w:t>
            </w:r>
            <w:r>
              <w:rPr>
                <w:rFonts w:hint="eastAsia" w:ascii="微软雅黑" w:hAnsi="微软雅黑" w:eastAsia="微软雅黑" w:cs="微软雅黑"/>
                <w:spacing w:val="0"/>
                <w:sz w:val="22"/>
                <w:szCs w:val="22"/>
                <w:lang w:eastAsia="zh-CN"/>
              </w:rPr>
              <w:t>按职责分工负责</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7"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12</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w w:val="100"/>
                <w:sz w:val="22"/>
                <w:szCs w:val="22"/>
                <w:lang w:eastAsia="zh-CN"/>
              </w:rPr>
            </w:pPr>
            <w:r>
              <w:rPr>
                <w:rFonts w:hint="eastAsia" w:ascii="微软雅黑" w:hAnsi="微软雅黑" w:eastAsia="微软雅黑" w:cs="微软雅黑"/>
                <w:spacing w:val="0"/>
                <w:sz w:val="22"/>
                <w:szCs w:val="22"/>
                <w:lang w:eastAsia="zh-CN"/>
              </w:rPr>
              <w:t>人力</w:t>
            </w:r>
            <w:r>
              <w:rPr>
                <w:rFonts w:hint="eastAsia" w:ascii="微软雅黑" w:hAnsi="微软雅黑" w:eastAsia="微软雅黑" w:cs="微软雅黑"/>
                <w:spacing w:val="0"/>
                <w:w w:val="100"/>
                <w:sz w:val="22"/>
                <w:szCs w:val="22"/>
                <w:lang w:eastAsia="zh-CN"/>
              </w:rPr>
              <w:t>资源</w:t>
            </w:r>
            <w:r>
              <w:rPr>
                <w:rFonts w:hint="eastAsia" w:ascii="微软雅黑" w:hAnsi="微软雅黑" w:eastAsia="微软雅黑" w:cs="微软雅黑"/>
                <w:spacing w:val="0"/>
                <w:sz w:val="22"/>
                <w:szCs w:val="22"/>
                <w:lang w:eastAsia="zh-CN"/>
              </w:rPr>
              <w:t>服务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优化就业服务</w:t>
            </w:r>
          </w:p>
        </w:tc>
        <w:tc>
          <w:tcPr>
            <w:tcW w:w="3262" w:type="dxa"/>
            <w:vAlign w:val="top"/>
          </w:tcPr>
          <w:p>
            <w:pPr>
              <w:spacing w:line="257" w:lineRule="auto"/>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lang w:eastAsia="zh-CN"/>
              </w:rPr>
              <w:t>配合市级</w:t>
            </w:r>
            <w:r>
              <w:rPr>
                <w:rFonts w:hint="eastAsia" w:ascii="微软雅黑" w:hAnsi="微软雅黑" w:eastAsia="微软雅黑" w:cs="微软雅黑"/>
                <w:spacing w:val="0"/>
                <w:sz w:val="22"/>
                <w:szCs w:val="22"/>
              </w:rPr>
              <w:t>开展“就业暖心·桂在行动”专项服务活动，组织“春风行动暨就业援助月”、民营企业招聘月等系列活动，加大线上线下信息发布力度和招聘活动密度，全年举办线上线下招聘活动</w:t>
            </w:r>
            <w:r>
              <w:rPr>
                <w:rFonts w:hint="eastAsia" w:ascii="微软雅黑" w:hAnsi="微软雅黑" w:eastAsia="微软雅黑" w:cs="微软雅黑"/>
                <w:spacing w:val="0"/>
                <w:sz w:val="22"/>
                <w:szCs w:val="22"/>
                <w:lang w:val="en-US" w:eastAsia="zh-CN"/>
              </w:rPr>
              <w:t>12</w:t>
            </w:r>
            <w:r>
              <w:rPr>
                <w:rFonts w:hint="eastAsia" w:ascii="微软雅黑" w:hAnsi="微软雅黑" w:eastAsia="微软雅黑" w:cs="微软雅黑"/>
                <w:spacing w:val="0"/>
                <w:sz w:val="22"/>
                <w:szCs w:val="22"/>
              </w:rPr>
              <w:t>场次以上。</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w w:val="100"/>
                <w:sz w:val="22"/>
                <w:szCs w:val="22"/>
                <w:lang w:eastAsia="zh-CN"/>
              </w:rPr>
            </w:pPr>
            <w:r>
              <w:rPr>
                <w:rFonts w:hint="eastAsia" w:ascii="微软雅黑" w:hAnsi="微软雅黑" w:eastAsia="微软雅黑" w:cs="微软雅黑"/>
                <w:spacing w:val="0"/>
                <w:sz w:val="22"/>
                <w:szCs w:val="22"/>
                <w:lang w:eastAsia="zh-CN"/>
              </w:rPr>
              <w:t>区人社局</w:t>
            </w:r>
          </w:p>
        </w:tc>
        <w:tc>
          <w:tcPr>
            <w:tcW w:w="1927" w:type="dxa"/>
            <w:vAlign w:val="top"/>
          </w:tcPr>
          <w:p>
            <w:pPr>
              <w:spacing w:line="257" w:lineRule="auto"/>
              <w:jc w:val="center"/>
              <w:rPr>
                <w:rFonts w:hint="eastAsia" w:ascii="微软雅黑" w:hAnsi="微软雅黑" w:eastAsia="微软雅黑" w:cs="微软雅黑"/>
                <w:spacing w:val="0"/>
                <w:sz w:val="22"/>
                <w:szCs w:val="22"/>
                <w:lang w:eastAsia="zh-CN"/>
              </w:rPr>
            </w:pPr>
          </w:p>
        </w:tc>
      </w:tr>
    </w:tbl>
    <w:p>
      <w:pPr>
        <w:spacing w:line="257" w:lineRule="auto"/>
        <w:rPr>
          <w:rFonts w:hint="eastAsia" w:ascii="微软雅黑" w:hAnsi="微软雅黑" w:eastAsia="微软雅黑" w:cs="微软雅黑"/>
          <w:sz w:val="22"/>
          <w:szCs w:val="22"/>
        </w:rPr>
        <w:sectPr>
          <w:footerReference r:id="rId11" w:type="default"/>
          <w:pgSz w:w="16838" w:h="11906"/>
          <w:pgMar w:top="400" w:right="2104" w:bottom="1514" w:left="2203"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2"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13</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人力</w:t>
            </w:r>
            <w:r>
              <w:rPr>
                <w:rFonts w:hint="eastAsia" w:ascii="微软雅黑" w:hAnsi="微软雅黑" w:eastAsia="微软雅黑" w:cs="微软雅黑"/>
                <w:spacing w:val="0"/>
                <w:w w:val="100"/>
                <w:sz w:val="22"/>
                <w:szCs w:val="22"/>
                <w:lang w:eastAsia="zh-CN"/>
              </w:rPr>
              <w:t>资源</w:t>
            </w:r>
            <w:r>
              <w:rPr>
                <w:rFonts w:hint="eastAsia" w:ascii="微软雅黑" w:hAnsi="微软雅黑" w:eastAsia="微软雅黑" w:cs="微软雅黑"/>
                <w:spacing w:val="0"/>
                <w:sz w:val="22"/>
                <w:szCs w:val="22"/>
                <w:lang w:eastAsia="zh-CN"/>
              </w:rPr>
              <w:t>服务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完善劳动争议多元调解机制</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明确劳动争议调解组织、调解</w:t>
            </w:r>
            <w:r>
              <w:rPr>
                <w:rFonts w:hint="eastAsia" w:ascii="微软雅黑" w:hAnsi="微软雅黑" w:eastAsia="微软雅黑" w:cs="微软雅黑"/>
                <w:sz w:val="22"/>
                <w:szCs w:val="22"/>
              </w:rPr>
              <w:t>员、调解办案等工作规范和具体</w:t>
            </w:r>
            <w:r>
              <w:rPr>
                <w:rFonts w:hint="eastAsia" w:ascii="微软雅黑" w:hAnsi="微软雅黑" w:eastAsia="微软雅黑" w:cs="微软雅黑"/>
                <w:spacing w:val="0"/>
                <w:sz w:val="22"/>
                <w:szCs w:val="22"/>
              </w:rPr>
              <w:t>建设要求，推进劳动争议调解“一中心、多工作室、多站点”平台体系的规范化建设和统一化</w:t>
            </w:r>
            <w:r>
              <w:rPr>
                <w:rFonts w:hint="eastAsia" w:ascii="微软雅黑" w:hAnsi="微软雅黑" w:eastAsia="微软雅黑" w:cs="微软雅黑"/>
                <w:sz w:val="22"/>
                <w:szCs w:val="22"/>
              </w:rPr>
              <w:t>管理。强化各区调解组织架构及人员队伍建设，全面提升劳动争议调解工作规范化、专业化、数</w:t>
            </w:r>
            <w:r>
              <w:rPr>
                <w:rFonts w:hint="eastAsia" w:ascii="微软雅黑" w:hAnsi="微软雅黑" w:eastAsia="微软雅黑" w:cs="微软雅黑"/>
                <w:spacing w:val="0"/>
                <w:sz w:val="22"/>
                <w:szCs w:val="22"/>
              </w:rPr>
              <w:t>字化水平。2023年调解成功率70.3％以上，拖欠农民工工资举报投诉案件结案率达到98%。</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区人社局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4"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14</w:t>
            </w:r>
          </w:p>
        </w:tc>
        <w:tc>
          <w:tcPr>
            <w:tcW w:w="875"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人力</w:t>
            </w:r>
            <w:r>
              <w:rPr>
                <w:rFonts w:hint="eastAsia" w:ascii="微软雅黑" w:hAnsi="微软雅黑" w:eastAsia="微软雅黑" w:cs="微软雅黑"/>
                <w:spacing w:val="0"/>
                <w:w w:val="100"/>
                <w:sz w:val="22"/>
                <w:szCs w:val="22"/>
                <w:lang w:eastAsia="zh-CN"/>
              </w:rPr>
              <w:t>资源</w:t>
            </w:r>
            <w:r>
              <w:rPr>
                <w:rFonts w:hint="eastAsia" w:ascii="微软雅黑" w:hAnsi="微软雅黑" w:eastAsia="微软雅黑" w:cs="微软雅黑"/>
                <w:spacing w:val="0"/>
                <w:sz w:val="22"/>
                <w:szCs w:val="22"/>
                <w:lang w:eastAsia="zh-CN"/>
              </w:rPr>
              <w:t>服务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新增高技能人才</w:t>
            </w:r>
          </w:p>
        </w:tc>
        <w:tc>
          <w:tcPr>
            <w:tcW w:w="3262" w:type="dxa"/>
            <w:vAlign w:val="top"/>
          </w:tcPr>
          <w:p>
            <w:pPr>
              <w:spacing w:line="257" w:lineRule="auto"/>
              <w:rPr>
                <w:rFonts w:hint="eastAsia" w:ascii="微软雅黑" w:hAnsi="微软雅黑" w:eastAsia="微软雅黑" w:cs="微软雅黑"/>
                <w:spacing w:val="0"/>
                <w:sz w:val="22"/>
                <w:szCs w:val="22"/>
                <w:lang w:eastAsia="zh-CN"/>
              </w:rPr>
            </w:pPr>
          </w:p>
          <w:p>
            <w:pPr>
              <w:spacing w:line="257" w:lineRule="auto"/>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lang w:eastAsia="zh-CN"/>
              </w:rPr>
              <w:t>配合市级</w:t>
            </w:r>
            <w:r>
              <w:rPr>
                <w:rFonts w:hint="eastAsia" w:ascii="微软雅黑" w:hAnsi="微软雅黑" w:eastAsia="微软雅黑" w:cs="微软雅黑"/>
                <w:spacing w:val="0"/>
                <w:sz w:val="22"/>
                <w:szCs w:val="22"/>
              </w:rPr>
              <w:t>完成新增高技能人才1600人目标任务。</w:t>
            </w:r>
          </w:p>
        </w:tc>
        <w:tc>
          <w:tcPr>
            <w:tcW w:w="1732"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区人社局</w:t>
            </w:r>
          </w:p>
        </w:tc>
        <w:tc>
          <w:tcPr>
            <w:tcW w:w="1927"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715" w:type="dxa"/>
            <w:vAlign w:val="top"/>
          </w:tcPr>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15</w:t>
            </w:r>
          </w:p>
        </w:tc>
        <w:tc>
          <w:tcPr>
            <w:tcW w:w="875"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人力</w:t>
            </w:r>
            <w:r>
              <w:rPr>
                <w:rFonts w:hint="eastAsia" w:ascii="微软雅黑" w:hAnsi="微软雅黑" w:eastAsia="微软雅黑" w:cs="微软雅黑"/>
                <w:spacing w:val="0"/>
                <w:w w:val="100"/>
                <w:sz w:val="22"/>
                <w:szCs w:val="22"/>
                <w:lang w:eastAsia="zh-CN"/>
              </w:rPr>
              <w:t>资源</w:t>
            </w:r>
            <w:r>
              <w:rPr>
                <w:rFonts w:hint="eastAsia" w:ascii="微软雅黑" w:hAnsi="微软雅黑" w:eastAsia="微软雅黑" w:cs="微软雅黑"/>
                <w:spacing w:val="0"/>
                <w:sz w:val="22"/>
                <w:szCs w:val="22"/>
                <w:lang w:eastAsia="zh-CN"/>
              </w:rPr>
              <w:t>服务</w:t>
            </w:r>
          </w:p>
        </w:tc>
        <w:tc>
          <w:tcPr>
            <w:tcW w:w="1828"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聚焦“引育用留”做好人才发展工</w:t>
            </w:r>
            <w:r>
              <w:rPr>
                <w:rFonts w:hint="eastAsia" w:ascii="微软雅黑" w:hAnsi="微软雅黑" w:eastAsia="微软雅黑" w:cs="微软雅黑"/>
                <w:sz w:val="22"/>
                <w:szCs w:val="22"/>
                <w:lang w:eastAsia="zh-CN"/>
              </w:rPr>
              <w:t>作</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配合执行自治区相关人才政策，落实《广西高层次人才集聚三年行动计划》《自治区1+2+N人才发展示范区建设总体方案》。</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区人才工作领导小组办公室及各成员单位按职责分工负</w:t>
            </w:r>
            <w:r>
              <w:rPr>
                <w:rFonts w:hint="eastAsia" w:ascii="微软雅黑" w:hAnsi="微软雅黑" w:eastAsia="微软雅黑" w:cs="微软雅黑"/>
                <w:sz w:val="22"/>
                <w:szCs w:val="22"/>
                <w:lang w:eastAsia="zh-CN"/>
              </w:rPr>
              <w:t>责</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tc>
      </w:tr>
    </w:tbl>
    <w:p>
      <w:pPr>
        <w:spacing w:line="257" w:lineRule="auto"/>
        <w:rPr>
          <w:rFonts w:hint="eastAsia" w:ascii="微软雅黑" w:hAnsi="微软雅黑" w:eastAsia="微软雅黑" w:cs="微软雅黑"/>
          <w:sz w:val="22"/>
          <w:szCs w:val="22"/>
        </w:rPr>
        <w:sectPr>
          <w:footerReference r:id="rId12" w:type="default"/>
          <w:pgSz w:w="16838" w:h="11906"/>
          <w:pgMar w:top="400" w:right="2104" w:bottom="1514" w:left="2203"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8"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16</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人力</w:t>
            </w:r>
            <w:r>
              <w:rPr>
                <w:rFonts w:hint="eastAsia" w:ascii="微软雅黑" w:hAnsi="微软雅黑" w:eastAsia="微软雅黑" w:cs="微软雅黑"/>
                <w:spacing w:val="0"/>
                <w:w w:val="100"/>
                <w:sz w:val="22"/>
                <w:szCs w:val="22"/>
                <w:lang w:eastAsia="zh-CN"/>
              </w:rPr>
              <w:t>资源</w:t>
            </w:r>
            <w:r>
              <w:rPr>
                <w:rFonts w:hint="eastAsia" w:ascii="微软雅黑" w:hAnsi="微软雅黑" w:eastAsia="微软雅黑" w:cs="微软雅黑"/>
                <w:spacing w:val="0"/>
                <w:sz w:val="22"/>
                <w:szCs w:val="22"/>
                <w:lang w:eastAsia="zh-CN"/>
              </w:rPr>
              <w:t>服务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加强高层次人才队伍、专业技术人才队伍建设</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实施柳州市人才新政，配合</w:t>
            </w:r>
            <w:r>
              <w:rPr>
                <w:rFonts w:hint="eastAsia" w:ascii="微软雅黑" w:hAnsi="微软雅黑" w:eastAsia="微软雅黑" w:cs="微软雅黑"/>
                <w:spacing w:val="0"/>
                <w:sz w:val="22"/>
                <w:szCs w:val="22"/>
                <w:lang w:eastAsia="zh-CN"/>
              </w:rPr>
              <w:t>柳州市</w:t>
            </w:r>
            <w:r>
              <w:rPr>
                <w:rFonts w:hint="eastAsia" w:ascii="微软雅黑" w:hAnsi="微软雅黑" w:eastAsia="微软雅黑" w:cs="微软雅黑"/>
                <w:spacing w:val="0"/>
                <w:sz w:val="22"/>
                <w:szCs w:val="22"/>
              </w:rPr>
              <w:t>做好自治区特聘专家、广西人才小高地和自治区高层次人才认定等重大人才项目的申报初评及推荐工作，配合柳州市开展重点领域急需紧缺高层次人才招聘活动；执行上级评审高级职称绿色通道的文件；参与自治区组织的实施海内外高端人才创新创</w:t>
            </w:r>
            <w:r>
              <w:rPr>
                <w:rFonts w:hint="eastAsia" w:ascii="微软雅黑" w:hAnsi="微软雅黑" w:eastAsia="微软雅黑" w:cs="微软雅黑"/>
                <w:sz w:val="22"/>
                <w:szCs w:val="22"/>
              </w:rPr>
              <w:t>业成果展。</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区人社局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val="en-US" w:eastAsia="zh-CN"/>
              </w:rPr>
              <w:t xml:space="preserve">  </w:t>
            </w:r>
            <w:r>
              <w:rPr>
                <w:rFonts w:hint="eastAsia" w:ascii="微软雅黑" w:hAnsi="微软雅黑" w:eastAsia="微软雅黑" w:cs="微软雅黑"/>
                <w:spacing w:val="0"/>
                <w:sz w:val="22"/>
                <w:szCs w:val="22"/>
                <w:lang w:eastAsia="zh-CN"/>
              </w:rPr>
              <w:t>17</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人力</w:t>
            </w:r>
            <w:r>
              <w:rPr>
                <w:rFonts w:hint="eastAsia" w:ascii="微软雅黑" w:hAnsi="微软雅黑" w:eastAsia="微软雅黑" w:cs="微软雅黑"/>
                <w:spacing w:val="0"/>
                <w:w w:val="100"/>
                <w:sz w:val="22"/>
                <w:szCs w:val="22"/>
                <w:lang w:eastAsia="zh-CN"/>
              </w:rPr>
              <w:t>资源</w:t>
            </w:r>
            <w:r>
              <w:rPr>
                <w:rFonts w:hint="eastAsia" w:ascii="微软雅黑" w:hAnsi="微软雅黑" w:eastAsia="微软雅黑" w:cs="微软雅黑"/>
                <w:spacing w:val="0"/>
                <w:sz w:val="22"/>
                <w:szCs w:val="22"/>
                <w:lang w:eastAsia="zh-CN"/>
              </w:rPr>
              <w:t>服务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增强人才引领力和驱动力</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支持人才向企业流动，配合柳州市打造一批人才团队示范平台、示范园区。。</w:t>
            </w:r>
            <w:r>
              <w:rPr>
                <w:rFonts w:hint="eastAsia" w:ascii="微软雅黑" w:hAnsi="微软雅黑" w:eastAsia="微软雅黑" w:cs="微软雅黑"/>
                <w:spacing w:val="0"/>
                <w:sz w:val="22"/>
                <w:szCs w:val="22"/>
                <w:lang w:eastAsia="zh-CN"/>
              </w:rPr>
              <w:t>配合市级</w:t>
            </w:r>
            <w:r>
              <w:rPr>
                <w:rFonts w:hint="eastAsia" w:ascii="微软雅黑" w:hAnsi="微软雅黑" w:eastAsia="微软雅黑" w:cs="微软雅黑"/>
                <w:spacing w:val="0"/>
                <w:sz w:val="22"/>
                <w:szCs w:val="22"/>
              </w:rPr>
              <w:t>加快推进国家级人力资源服务产业园建设，落实柳州市推进国家级柳州人力资源服务产业园发展相关政策</w:t>
            </w:r>
            <w:r>
              <w:rPr>
                <w:rFonts w:hint="eastAsia" w:ascii="微软雅黑" w:hAnsi="微软雅黑" w:eastAsia="微软雅黑" w:cs="微软雅黑"/>
                <w:sz w:val="22"/>
                <w:szCs w:val="22"/>
              </w:rPr>
              <w:t>。</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区人社局按职责分工负责</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18</w:t>
            </w:r>
          </w:p>
        </w:tc>
        <w:tc>
          <w:tcPr>
            <w:tcW w:w="875" w:type="dxa"/>
            <w:vAlign w:val="top"/>
          </w:tcPr>
          <w:p>
            <w:pPr>
              <w:spacing w:before="0" w:line="257" w:lineRule="auto"/>
              <w:ind w:left="0" w:right="0" w:firstLine="0" w:firstLineChars="0"/>
              <w:jc w:val="center"/>
              <w:rPr>
                <w:rFonts w:hint="eastAsia" w:ascii="微软雅黑" w:hAnsi="微软雅黑" w:eastAsia="微软雅黑" w:cs="微软雅黑"/>
                <w:spacing w:val="0"/>
                <w:sz w:val="22"/>
                <w:szCs w:val="22"/>
                <w:lang w:val="en-US" w:eastAsia="zh-CN"/>
              </w:rPr>
            </w:pPr>
            <w:r>
              <w:rPr>
                <w:rFonts w:hint="eastAsia" w:ascii="微软雅黑" w:hAnsi="微软雅黑" w:eastAsia="微软雅黑" w:cs="微软雅黑"/>
                <w:spacing w:val="0"/>
                <w:sz w:val="22"/>
                <w:szCs w:val="22"/>
                <w:lang w:val="en-US" w:eastAsia="zh-CN"/>
              </w:rPr>
              <w:t xml:space="preserve"> </w:t>
            </w:r>
          </w:p>
          <w:p>
            <w:pPr>
              <w:spacing w:before="0" w:line="257" w:lineRule="auto"/>
              <w:ind w:left="0" w:right="0" w:firstLine="0" w:firstLineChars="0"/>
              <w:jc w:val="center"/>
              <w:rPr>
                <w:rFonts w:hint="eastAsia" w:ascii="微软雅黑" w:hAnsi="微软雅黑" w:eastAsia="微软雅黑" w:cs="微软雅黑"/>
                <w:spacing w:val="0"/>
                <w:sz w:val="22"/>
                <w:szCs w:val="22"/>
                <w:lang w:val="en-US" w:eastAsia="zh-CN"/>
              </w:rPr>
            </w:pPr>
          </w:p>
          <w:p>
            <w:pPr>
              <w:spacing w:before="0" w:line="257" w:lineRule="auto"/>
              <w:ind w:left="0" w:righ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人力资源服务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pacing w:val="0"/>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强化企业用工保</w:t>
            </w:r>
            <w:r>
              <w:rPr>
                <w:rFonts w:hint="eastAsia" w:ascii="微软雅黑" w:hAnsi="微软雅黑" w:eastAsia="微软雅黑" w:cs="微软雅黑"/>
                <w:sz w:val="22"/>
                <w:szCs w:val="22"/>
                <w:lang w:eastAsia="zh-CN"/>
              </w:rPr>
              <w:t>障</w:t>
            </w:r>
          </w:p>
        </w:tc>
        <w:tc>
          <w:tcPr>
            <w:tcW w:w="3262" w:type="dxa"/>
            <w:vAlign w:val="top"/>
          </w:tcPr>
          <w:p>
            <w:pPr>
              <w:spacing w:before="0" w:line="257" w:lineRule="auto"/>
              <w:ind w:left="0" w:right="0" w:firstLine="0"/>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开展整市推进产业工人队伍建</w:t>
            </w:r>
            <w:r>
              <w:rPr>
                <w:rFonts w:hint="eastAsia" w:ascii="微软雅黑" w:hAnsi="微软雅黑" w:eastAsia="微软雅黑" w:cs="微软雅黑"/>
                <w:sz w:val="22"/>
                <w:szCs w:val="22"/>
              </w:rPr>
              <w:t>设支持企业用工行动，绘制企业</w:t>
            </w:r>
            <w:r>
              <w:rPr>
                <w:rFonts w:hint="eastAsia" w:ascii="微软雅黑" w:hAnsi="微软雅黑" w:eastAsia="微软雅黑" w:cs="微软雅黑"/>
                <w:spacing w:val="0"/>
                <w:sz w:val="22"/>
                <w:szCs w:val="22"/>
              </w:rPr>
              <w:t>“用工需求地图”，推行“办不成事”受理窗口，实行“就业管家”服务模式，为企业提供政策咨</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pacing w:val="0"/>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pacing w:val="0"/>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区人社局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pacing w:val="0"/>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各有关单位</w:t>
            </w:r>
          </w:p>
        </w:tc>
      </w:tr>
    </w:tbl>
    <w:p>
      <w:pPr>
        <w:spacing w:line="257" w:lineRule="auto"/>
        <w:rPr>
          <w:rFonts w:hint="eastAsia" w:ascii="微软雅黑" w:hAnsi="微软雅黑" w:eastAsia="微软雅黑" w:cs="微软雅黑"/>
          <w:sz w:val="22"/>
          <w:szCs w:val="22"/>
        </w:rPr>
        <w:sectPr>
          <w:footerReference r:id="rId13" w:type="default"/>
          <w:pgSz w:w="16838" w:h="11906"/>
          <w:pgMar w:top="400" w:right="2203" w:bottom="1514" w:left="2104"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4" w:hRule="atLeast"/>
        </w:trPr>
        <w:tc>
          <w:tcPr>
            <w:tcW w:w="715" w:type="dxa"/>
            <w:vAlign w:val="top"/>
          </w:tcPr>
          <w:p>
            <w:pPr>
              <w:spacing w:line="257" w:lineRule="auto"/>
              <w:ind w:firstLine="220" w:firstLineChars="100"/>
              <w:rPr>
                <w:rFonts w:hint="eastAsia" w:ascii="微软雅黑" w:hAnsi="微软雅黑" w:eastAsia="微软雅黑" w:cs="微软雅黑"/>
                <w:sz w:val="22"/>
                <w:szCs w:val="22"/>
              </w:rPr>
            </w:pPr>
          </w:p>
        </w:tc>
        <w:tc>
          <w:tcPr>
            <w:tcW w:w="875" w:type="dxa"/>
            <w:vAlign w:val="top"/>
          </w:tcPr>
          <w:p>
            <w:pPr>
              <w:spacing w:line="257" w:lineRule="auto"/>
              <w:rPr>
                <w:rFonts w:hint="eastAsia" w:ascii="微软雅黑" w:hAnsi="微软雅黑" w:eastAsia="微软雅黑" w:cs="微软雅黑"/>
                <w:sz w:val="22"/>
                <w:szCs w:val="22"/>
              </w:rPr>
            </w:pPr>
          </w:p>
        </w:tc>
        <w:tc>
          <w:tcPr>
            <w:tcW w:w="1828" w:type="dxa"/>
            <w:vAlign w:val="top"/>
          </w:tcPr>
          <w:p>
            <w:pPr>
              <w:spacing w:line="257" w:lineRule="auto"/>
              <w:rPr>
                <w:rFonts w:hint="eastAsia" w:ascii="微软雅黑" w:hAnsi="微软雅黑" w:eastAsia="微软雅黑" w:cs="微软雅黑"/>
                <w:sz w:val="22"/>
                <w:szCs w:val="22"/>
              </w:rPr>
            </w:pPr>
          </w:p>
        </w:tc>
        <w:tc>
          <w:tcPr>
            <w:tcW w:w="3262" w:type="dxa"/>
            <w:vAlign w:val="top"/>
          </w:tcPr>
          <w:p>
            <w:pPr>
              <w:spacing w:before="0" w:line="257" w:lineRule="auto"/>
              <w:ind w:left="0" w:right="0"/>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lang w:val="en-US" w:eastAsia="zh-CN"/>
              </w:rPr>
              <w:t>询</w:t>
            </w:r>
            <w:r>
              <w:rPr>
                <w:rFonts w:hint="eastAsia" w:ascii="微软雅黑" w:hAnsi="微软雅黑" w:eastAsia="微软雅黑" w:cs="微软雅黑"/>
                <w:spacing w:val="0"/>
                <w:sz w:val="22"/>
                <w:szCs w:val="22"/>
              </w:rPr>
              <w:t>、企业招用工、技能培训等一站式服务。</w:t>
            </w:r>
          </w:p>
        </w:tc>
        <w:tc>
          <w:tcPr>
            <w:tcW w:w="1732" w:type="dxa"/>
            <w:vAlign w:val="top"/>
          </w:tcPr>
          <w:p>
            <w:pPr>
              <w:spacing w:line="257" w:lineRule="auto"/>
              <w:rPr>
                <w:rFonts w:hint="eastAsia" w:ascii="微软雅黑" w:hAnsi="微软雅黑" w:eastAsia="微软雅黑" w:cs="微软雅黑"/>
                <w:sz w:val="22"/>
                <w:szCs w:val="22"/>
              </w:rPr>
            </w:pPr>
          </w:p>
        </w:tc>
        <w:tc>
          <w:tcPr>
            <w:tcW w:w="2087" w:type="dxa"/>
            <w:vAlign w:val="top"/>
          </w:tcPr>
          <w:p>
            <w:pPr>
              <w:spacing w:line="257" w:lineRule="auto"/>
              <w:rPr>
                <w:rFonts w:hint="eastAsia" w:ascii="微软雅黑" w:hAnsi="微软雅黑" w:eastAsia="微软雅黑" w:cs="微软雅黑"/>
                <w:sz w:val="22"/>
                <w:szCs w:val="22"/>
              </w:rPr>
            </w:pPr>
          </w:p>
        </w:tc>
        <w:tc>
          <w:tcPr>
            <w:tcW w:w="1927" w:type="dxa"/>
            <w:vAlign w:val="top"/>
          </w:tcPr>
          <w:p>
            <w:pPr>
              <w:spacing w:line="257" w:lineRule="auto"/>
              <w:rPr>
                <w:rFonts w:hint="eastAsia" w:ascii="微软雅黑" w:hAnsi="微软雅黑" w:eastAsia="微软雅黑" w:cs="微软雅黑"/>
                <w:sz w:val="22"/>
                <w:szCs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3"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19</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人力资源服务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降低企业用工成</w:t>
            </w:r>
            <w:r>
              <w:rPr>
                <w:rFonts w:hint="eastAsia" w:ascii="微软雅黑" w:hAnsi="微软雅黑" w:eastAsia="微软雅黑" w:cs="微软雅黑"/>
                <w:sz w:val="22"/>
                <w:szCs w:val="22"/>
                <w:lang w:eastAsia="zh-CN"/>
              </w:rPr>
              <w:t>本</w:t>
            </w:r>
          </w:p>
        </w:tc>
        <w:tc>
          <w:tcPr>
            <w:tcW w:w="3262" w:type="dxa"/>
            <w:vAlign w:val="top"/>
          </w:tcPr>
          <w:p>
            <w:pPr>
              <w:spacing w:before="0" w:line="257" w:lineRule="auto"/>
              <w:ind w:left="0" w:right="0"/>
              <w:rPr>
                <w:rFonts w:hint="eastAsia" w:ascii="微软雅黑" w:hAnsi="微软雅黑" w:eastAsia="微软雅黑" w:cs="微软雅黑"/>
                <w:spacing w:val="0"/>
                <w:sz w:val="22"/>
                <w:szCs w:val="22"/>
              </w:rPr>
            </w:pPr>
          </w:p>
          <w:p>
            <w:pPr>
              <w:spacing w:before="0" w:line="257" w:lineRule="auto"/>
              <w:ind w:left="0" w:right="0"/>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通过政府购买服务方式，委托经营性人力资源服务机构为企业提供用工服务。落实助企纾困政策，降低企业用工成本，推行企业吸纳就业、社会保险补贴等惠企政策“直补快办”。</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区人社局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6"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办理建筑许可</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before="0" w:line="257" w:lineRule="auto"/>
              <w:ind w:left="0" w:righ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解决信息重复录</w:t>
            </w:r>
            <w:r>
              <w:rPr>
                <w:rFonts w:hint="eastAsia" w:ascii="微软雅黑" w:hAnsi="微软雅黑" w:eastAsia="微软雅黑" w:cs="微软雅黑"/>
                <w:sz w:val="22"/>
                <w:szCs w:val="22"/>
                <w:lang w:eastAsia="zh-CN"/>
              </w:rPr>
              <w:t>入问题</w:t>
            </w:r>
          </w:p>
        </w:tc>
        <w:tc>
          <w:tcPr>
            <w:tcW w:w="3262" w:type="dxa"/>
            <w:vAlign w:val="top"/>
          </w:tcPr>
          <w:p>
            <w:pPr>
              <w:spacing w:before="0" w:line="257" w:lineRule="auto"/>
              <w:ind w:left="0" w:right="0" w:firstLine="0"/>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实现工程建设项目审批系统与自然资源部门的规划审批系统、发展改革部门的投资项目在线审批监管平台以及生态环境、林业等国垂、区管系统的对接，进一步规范工程建设项目单一窗口申请、信息一次填报、材料一次上传、过程信息和审批结果信息实时共享，解决信息重复录入问题。</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before="0" w:line="257" w:lineRule="auto"/>
              <w:ind w:lef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区住建局、自然资源局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区发改局、农业农村局、政管办，柳北生态环境局</w:t>
            </w:r>
          </w:p>
        </w:tc>
      </w:tr>
    </w:tbl>
    <w:p>
      <w:pPr>
        <w:spacing w:line="257" w:lineRule="auto"/>
        <w:rPr>
          <w:rFonts w:hint="eastAsia" w:ascii="微软雅黑" w:hAnsi="微软雅黑" w:eastAsia="微软雅黑" w:cs="微软雅黑"/>
          <w:sz w:val="22"/>
          <w:szCs w:val="22"/>
        </w:rPr>
        <w:sectPr>
          <w:footerReference r:id="rId14" w:type="default"/>
          <w:pgSz w:w="16838" w:h="11906"/>
          <w:pgMar w:top="400" w:right="2104" w:bottom="1514" w:left="2203" w:header="0" w:footer="1284"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4"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21</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办理建筑许可</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shd w:val="clear"/>
                <w:lang w:eastAsia="zh-CN"/>
              </w:rPr>
              <w:t>深化“多测合一”改革</w:t>
            </w:r>
          </w:p>
        </w:tc>
        <w:tc>
          <w:tcPr>
            <w:tcW w:w="3262" w:type="dxa"/>
            <w:vAlign w:val="top"/>
          </w:tcPr>
          <w:p>
            <w:pPr>
              <w:spacing w:before="0" w:line="257" w:lineRule="auto"/>
              <w:ind w:left="0" w:right="0"/>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lang w:eastAsia="zh-CN"/>
              </w:rPr>
              <w:t>配合市级</w:t>
            </w:r>
            <w:r>
              <w:rPr>
                <w:rFonts w:hint="eastAsia" w:ascii="微软雅黑" w:hAnsi="微软雅黑" w:eastAsia="微软雅黑" w:cs="微软雅黑"/>
                <w:spacing w:val="0"/>
                <w:sz w:val="22"/>
                <w:szCs w:val="22"/>
              </w:rPr>
              <w:t>推进实施竣工验收和不动产登记阶段竣工测量、不动产测量合并测绘，进一步将勘测定界测绘、地籍测量合并为一个测绘事项，实现同一阶段一次委托、成果共享。</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color w:val="000000"/>
                <w:spacing w:val="0"/>
                <w:sz w:val="22"/>
                <w:szCs w:val="22"/>
                <w:lang w:eastAsia="zh-CN"/>
              </w:rPr>
              <w:t>区自然资源局、住建局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4"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22</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办理建筑许可</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推动产业园区规划环评与项目环评联动，对园区内建设项目按环境风险进行分类管理，优化项目</w:t>
            </w:r>
            <w:r>
              <w:rPr>
                <w:rFonts w:hint="eastAsia" w:ascii="微软雅黑" w:hAnsi="微软雅黑" w:eastAsia="微软雅黑" w:cs="微软雅黑"/>
                <w:sz w:val="22"/>
                <w:szCs w:val="22"/>
                <w:lang w:eastAsia="zh-CN"/>
              </w:rPr>
              <w:t>环评流程</w:t>
            </w:r>
          </w:p>
        </w:tc>
        <w:tc>
          <w:tcPr>
            <w:tcW w:w="3262" w:type="dxa"/>
            <w:vAlign w:val="top"/>
          </w:tcPr>
          <w:p>
            <w:pPr>
              <w:spacing w:before="0" w:line="257" w:lineRule="auto"/>
              <w:ind w:left="0" w:right="0"/>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lang w:eastAsia="zh-CN"/>
              </w:rPr>
              <w:t>配合市级</w:t>
            </w:r>
            <w:r>
              <w:rPr>
                <w:rFonts w:hint="eastAsia" w:ascii="微软雅黑" w:hAnsi="微软雅黑" w:eastAsia="微软雅黑" w:cs="微软雅黑"/>
                <w:spacing w:val="0"/>
                <w:sz w:val="22"/>
                <w:szCs w:val="22"/>
              </w:rPr>
              <w:t>在环境质量符合国家相关考核要求、环境管理体系较为健全的产业园区，探索入园建设项目环评改革，对环境风险低的项目免于环评审批，对位于同区域且同行业类型的中等风险的项目采取“打捆”环评审批，对高风险的项目优化评价内容，推进规划环评与项目环评联动，避免重复评价。在符合园区规划环评结论和审查要求的基础上，对国家级经开区内的重大制造业项目依法简化项目环评内容，压缩审批时间，优化审批服务；对符合生态环境准入要求的项目加快环评审批。</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before="0" w:line="257" w:lineRule="auto"/>
              <w:ind w:lef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柳北生态环境局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区住建局，各有关单位</w:t>
            </w:r>
          </w:p>
        </w:tc>
      </w:tr>
    </w:tbl>
    <w:p>
      <w:pPr>
        <w:spacing w:line="257" w:lineRule="auto"/>
        <w:rPr>
          <w:rFonts w:hint="eastAsia" w:ascii="微软雅黑" w:hAnsi="微软雅黑" w:eastAsia="微软雅黑" w:cs="微软雅黑"/>
          <w:sz w:val="22"/>
          <w:szCs w:val="22"/>
        </w:rPr>
        <w:sectPr>
          <w:footerReference r:id="rId15" w:type="default"/>
          <w:pgSz w:w="16838" w:h="11906"/>
          <w:pgMar w:top="400" w:right="2203" w:bottom="1514" w:left="2104" w:header="0" w:footer="1284"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715" w:type="dxa"/>
            <w:vAlign w:val="top"/>
          </w:tcPr>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23</w:t>
            </w:r>
          </w:p>
        </w:tc>
        <w:tc>
          <w:tcPr>
            <w:tcW w:w="875" w:type="dxa"/>
            <w:vAlign w:val="top"/>
          </w:tcPr>
          <w:p>
            <w:pPr>
              <w:spacing w:before="0" w:line="257" w:lineRule="auto"/>
              <w:ind w:left="0" w:right="0" w:firstLine="0"/>
              <w:jc w:val="both"/>
              <w:rPr>
                <w:rFonts w:hint="eastAsia" w:ascii="微软雅黑" w:hAnsi="微软雅黑" w:eastAsia="微软雅黑" w:cs="微软雅黑"/>
                <w:spacing w:val="0"/>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办理建筑许可</w:t>
            </w:r>
          </w:p>
        </w:tc>
        <w:tc>
          <w:tcPr>
            <w:tcW w:w="1828" w:type="dxa"/>
            <w:vAlign w:val="top"/>
          </w:tcPr>
          <w:p>
            <w:pPr>
              <w:spacing w:line="257" w:lineRule="auto"/>
              <w:jc w:val="both"/>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eastAsia="zh-CN"/>
              </w:rPr>
              <w:t>实行工程质量分</w:t>
            </w:r>
            <w:r>
              <w:rPr>
                <w:rFonts w:hint="eastAsia" w:ascii="微软雅黑" w:hAnsi="微软雅黑" w:eastAsia="微软雅黑" w:cs="微软雅黑"/>
                <w:spacing w:val="0"/>
                <w:sz w:val="22"/>
                <w:szCs w:val="22"/>
                <w:lang w:eastAsia="zh-CN"/>
              </w:rPr>
              <w:t>类监管</w:t>
            </w:r>
          </w:p>
        </w:tc>
        <w:tc>
          <w:tcPr>
            <w:tcW w:w="3262" w:type="dxa"/>
            <w:vAlign w:val="top"/>
          </w:tcPr>
          <w:p>
            <w:pPr>
              <w:spacing w:before="0" w:line="257" w:lineRule="auto"/>
              <w:ind w:left="0" w:right="0" w:firstLine="0"/>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建立基于项目类型、结构安全、施工安全危险性、企业现场管理水平等风险因素分类的差异化现场质量监督体系。</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both"/>
              <w:rPr>
                <w:rFonts w:hint="eastAsia" w:ascii="微软雅黑" w:hAnsi="微软雅黑" w:eastAsia="微软雅黑" w:cs="微软雅黑"/>
                <w:sz w:val="22"/>
                <w:szCs w:val="22"/>
                <w:lang w:eastAsia="zh-CN"/>
              </w:rPr>
            </w:pPr>
          </w:p>
          <w:p>
            <w:pPr>
              <w:spacing w:before="0" w:line="257" w:lineRule="auto"/>
              <w:ind w:lef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市住建局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3"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24</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办理建筑许可</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加快推进区域评估成果共享，推行工业项目“标</w:t>
            </w:r>
            <w:r>
              <w:rPr>
                <w:rFonts w:hint="eastAsia" w:ascii="微软雅黑" w:hAnsi="微软雅黑" w:eastAsia="微软雅黑" w:cs="微软雅黑"/>
                <w:sz w:val="22"/>
                <w:szCs w:val="22"/>
                <w:lang w:eastAsia="zh-CN"/>
              </w:rPr>
              <w:t>准地”改革</w:t>
            </w:r>
          </w:p>
        </w:tc>
        <w:tc>
          <w:tcPr>
            <w:tcW w:w="3262" w:type="dxa"/>
            <w:vAlign w:val="top"/>
          </w:tcPr>
          <w:p>
            <w:pPr>
              <w:spacing w:before="0" w:line="257" w:lineRule="auto"/>
              <w:ind w:left="0" w:right="0" w:firstLine="0"/>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开展“标准地”区域评估和普查，推进区域评估结果和普查意见</w:t>
            </w:r>
            <w:r>
              <w:rPr>
                <w:rFonts w:hint="eastAsia" w:ascii="微软雅黑" w:hAnsi="微软雅黑" w:eastAsia="微软雅黑" w:cs="微软雅黑"/>
                <w:sz w:val="22"/>
                <w:szCs w:val="22"/>
              </w:rPr>
              <w:t>免费共享。全面简化、优化工业</w:t>
            </w:r>
            <w:r>
              <w:rPr>
                <w:rFonts w:hint="eastAsia" w:ascii="微软雅黑" w:hAnsi="微软雅黑" w:eastAsia="微软雅黑" w:cs="微软雅黑"/>
                <w:spacing w:val="0"/>
                <w:sz w:val="22"/>
                <w:szCs w:val="22"/>
              </w:rPr>
              <w:t>用地规划报建审批程序，完善“带产业项目”和“带设计方案”出让模式，进一步提升服务效能，</w:t>
            </w:r>
            <w:r>
              <w:rPr>
                <w:rFonts w:hint="eastAsia" w:ascii="微软雅黑" w:hAnsi="微软雅黑" w:eastAsia="微软雅黑" w:cs="微软雅黑"/>
                <w:sz w:val="22"/>
                <w:szCs w:val="22"/>
              </w:rPr>
              <w:t>推动实现“拿地即可开工”。配合</w:t>
            </w:r>
            <w:r>
              <w:rPr>
                <w:rFonts w:hint="eastAsia" w:ascii="微软雅黑" w:hAnsi="微软雅黑" w:eastAsia="微软雅黑" w:cs="微软雅黑"/>
                <w:spacing w:val="0"/>
                <w:sz w:val="22"/>
                <w:szCs w:val="22"/>
                <w:lang w:eastAsia="zh-CN"/>
              </w:rPr>
              <w:t>柳州市</w:t>
            </w:r>
            <w:r>
              <w:rPr>
                <w:rFonts w:hint="eastAsia" w:ascii="微软雅黑" w:hAnsi="微软雅黑" w:eastAsia="微软雅黑" w:cs="微软雅黑"/>
                <w:spacing w:val="0"/>
                <w:sz w:val="22"/>
                <w:szCs w:val="22"/>
              </w:rPr>
              <w:t>制定“标准地”改革工作</w:t>
            </w:r>
            <w:r>
              <w:rPr>
                <w:rFonts w:hint="eastAsia" w:ascii="微软雅黑" w:hAnsi="微软雅黑" w:eastAsia="微软雅黑" w:cs="微软雅黑"/>
                <w:sz w:val="22"/>
                <w:szCs w:val="22"/>
              </w:rPr>
              <w:t>联席会议制度和评估考核方案，</w:t>
            </w:r>
            <w:r>
              <w:rPr>
                <w:rFonts w:hint="eastAsia" w:ascii="微软雅黑" w:hAnsi="微软雅黑" w:eastAsia="微软雅黑" w:cs="微软雅黑"/>
                <w:spacing w:val="0"/>
                <w:sz w:val="22"/>
                <w:szCs w:val="22"/>
              </w:rPr>
              <w:t>形成年度“标准地”改革综合评价报告。</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区自然资源局、发改局、政管办、园区管委会、住建局按职责分工负责</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7"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w:t>
            </w:r>
            <w:r>
              <w:rPr>
                <w:rFonts w:hint="eastAsia" w:ascii="微软雅黑" w:hAnsi="微软雅黑" w:eastAsia="微软雅黑" w:cs="微软雅黑"/>
                <w:spacing w:val="0"/>
                <w:sz w:val="22"/>
                <w:szCs w:val="22"/>
                <w:lang w:val="en-US" w:eastAsia="zh-CN"/>
              </w:rPr>
              <w:t>5</w:t>
            </w:r>
          </w:p>
        </w:tc>
        <w:tc>
          <w:tcPr>
            <w:tcW w:w="875" w:type="dxa"/>
            <w:vAlign w:val="top"/>
          </w:tcPr>
          <w:p>
            <w:pPr>
              <w:spacing w:before="0" w:line="257" w:lineRule="auto"/>
              <w:ind w:left="0" w:right="0" w:firstLine="0"/>
              <w:jc w:val="center"/>
              <w:rPr>
                <w:rFonts w:hint="eastAsia" w:ascii="微软雅黑" w:hAnsi="微软雅黑" w:eastAsia="微软雅黑" w:cs="微软雅黑"/>
                <w:spacing w:val="0"/>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办理建筑许可</w:t>
            </w:r>
          </w:p>
        </w:tc>
        <w:tc>
          <w:tcPr>
            <w:tcW w:w="1828" w:type="dxa"/>
            <w:vAlign w:val="top"/>
          </w:tcPr>
          <w:p>
            <w:pPr>
              <w:spacing w:before="0" w:line="257" w:lineRule="auto"/>
              <w:ind w:left="0" w:right="0"/>
              <w:jc w:val="center"/>
              <w:rPr>
                <w:rFonts w:hint="eastAsia" w:ascii="微软雅黑" w:hAnsi="微软雅黑" w:eastAsia="微软雅黑" w:cs="微软雅黑"/>
                <w:spacing w:val="0"/>
                <w:sz w:val="22"/>
                <w:szCs w:val="22"/>
                <w:lang w:eastAsia="zh-CN"/>
              </w:rPr>
            </w:pPr>
          </w:p>
          <w:p>
            <w:pPr>
              <w:spacing w:before="0" w:line="257" w:lineRule="auto"/>
              <w:ind w:left="0" w:righ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保障项目用地需</w:t>
            </w:r>
            <w:r>
              <w:rPr>
                <w:rFonts w:hint="eastAsia" w:ascii="微软雅黑" w:hAnsi="微软雅黑" w:eastAsia="微软雅黑" w:cs="微软雅黑"/>
                <w:sz w:val="22"/>
                <w:szCs w:val="22"/>
                <w:lang w:eastAsia="zh-CN"/>
              </w:rPr>
              <w:t>求</w:t>
            </w:r>
          </w:p>
        </w:tc>
        <w:tc>
          <w:tcPr>
            <w:tcW w:w="3262" w:type="dxa"/>
            <w:vAlign w:val="top"/>
          </w:tcPr>
          <w:p>
            <w:pPr>
              <w:spacing w:before="0" w:line="257" w:lineRule="auto"/>
              <w:ind w:left="0" w:right="0"/>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通过创新产业用地分类、鼓励土地混合使用、提高产业用地容积率上限、预留产业发展空间资源</w:t>
            </w:r>
          </w:p>
        </w:tc>
        <w:tc>
          <w:tcPr>
            <w:tcW w:w="1732" w:type="dxa"/>
            <w:vAlign w:val="top"/>
          </w:tcPr>
          <w:p>
            <w:pPr>
              <w:spacing w:before="0" w:line="257" w:lineRule="auto"/>
              <w:ind w:left="0" w:right="0" w:firstLine="0"/>
              <w:jc w:val="center"/>
              <w:rPr>
                <w:rFonts w:hint="eastAsia" w:ascii="微软雅黑" w:hAnsi="微软雅黑" w:eastAsia="微软雅黑" w:cs="微软雅黑"/>
                <w:spacing w:val="0"/>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before="0" w:line="257" w:lineRule="auto"/>
              <w:ind w:left="0" w:right="0" w:firstLine="0"/>
              <w:jc w:val="center"/>
              <w:rPr>
                <w:rFonts w:hint="eastAsia" w:ascii="微软雅黑" w:hAnsi="微软雅黑" w:eastAsia="微软雅黑" w:cs="微软雅黑"/>
                <w:spacing w:val="0"/>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区自然资源局、园区管委会</w:t>
            </w:r>
          </w:p>
        </w:tc>
        <w:tc>
          <w:tcPr>
            <w:tcW w:w="1927" w:type="dxa"/>
            <w:vAlign w:val="top"/>
          </w:tcPr>
          <w:p>
            <w:pPr>
              <w:spacing w:before="0" w:line="257" w:lineRule="auto"/>
              <w:ind w:left="0" w:right="0" w:firstLine="0"/>
              <w:jc w:val="center"/>
              <w:rPr>
                <w:rFonts w:hint="eastAsia" w:ascii="微软雅黑" w:hAnsi="微软雅黑" w:eastAsia="微软雅黑" w:cs="微软雅黑"/>
                <w:spacing w:val="0"/>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各有关单位</w:t>
            </w:r>
          </w:p>
        </w:tc>
      </w:tr>
    </w:tbl>
    <w:p>
      <w:pPr>
        <w:spacing w:line="257" w:lineRule="auto"/>
        <w:rPr>
          <w:rFonts w:hint="eastAsia" w:ascii="微软雅黑" w:hAnsi="微软雅黑" w:eastAsia="微软雅黑" w:cs="微软雅黑"/>
          <w:sz w:val="22"/>
          <w:szCs w:val="22"/>
        </w:rPr>
        <w:sectPr>
          <w:footerReference r:id="rId16" w:type="default"/>
          <w:pgSz w:w="16838" w:h="11906"/>
          <w:pgMar w:top="400" w:right="2104" w:bottom="1514" w:left="2203"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4" w:hRule="atLeast"/>
        </w:trPr>
        <w:tc>
          <w:tcPr>
            <w:tcW w:w="715" w:type="dxa"/>
            <w:vAlign w:val="top"/>
          </w:tcPr>
          <w:p>
            <w:pPr>
              <w:spacing w:line="257" w:lineRule="auto"/>
              <w:ind w:firstLine="220" w:firstLineChars="100"/>
              <w:rPr>
                <w:rFonts w:hint="eastAsia" w:ascii="微软雅黑" w:hAnsi="微软雅黑" w:eastAsia="微软雅黑" w:cs="微软雅黑"/>
                <w:sz w:val="22"/>
                <w:szCs w:val="22"/>
              </w:rPr>
            </w:pPr>
          </w:p>
        </w:tc>
        <w:tc>
          <w:tcPr>
            <w:tcW w:w="875" w:type="dxa"/>
            <w:vAlign w:val="top"/>
          </w:tcPr>
          <w:p>
            <w:pPr>
              <w:spacing w:line="257" w:lineRule="auto"/>
              <w:rPr>
                <w:rFonts w:hint="eastAsia" w:ascii="微软雅黑" w:hAnsi="微软雅黑" w:eastAsia="微软雅黑" w:cs="微软雅黑"/>
                <w:sz w:val="22"/>
                <w:szCs w:val="22"/>
              </w:rPr>
            </w:pPr>
          </w:p>
        </w:tc>
        <w:tc>
          <w:tcPr>
            <w:tcW w:w="1828" w:type="dxa"/>
            <w:vAlign w:val="top"/>
          </w:tcPr>
          <w:p>
            <w:pPr>
              <w:spacing w:line="257" w:lineRule="auto"/>
              <w:rPr>
                <w:rFonts w:hint="eastAsia" w:ascii="微软雅黑" w:hAnsi="微软雅黑" w:eastAsia="微软雅黑" w:cs="微软雅黑"/>
                <w:sz w:val="22"/>
                <w:szCs w:val="22"/>
              </w:rPr>
            </w:pPr>
          </w:p>
        </w:tc>
        <w:tc>
          <w:tcPr>
            <w:tcW w:w="3262" w:type="dxa"/>
            <w:vAlign w:val="top"/>
          </w:tcPr>
          <w:p>
            <w:pPr>
              <w:spacing w:before="0" w:line="257" w:lineRule="auto"/>
              <w:ind w:left="0" w:right="0" w:firstLine="0"/>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等措施，满足引进项目用地需求。贯彻执行完善开发区节约集约评价考核指标新体系，按实际控制或管理面积实事求是考核节约集约水平。</w:t>
            </w:r>
          </w:p>
        </w:tc>
        <w:tc>
          <w:tcPr>
            <w:tcW w:w="1732" w:type="dxa"/>
            <w:vAlign w:val="top"/>
          </w:tcPr>
          <w:p>
            <w:pPr>
              <w:spacing w:line="257" w:lineRule="auto"/>
              <w:rPr>
                <w:rFonts w:hint="eastAsia" w:ascii="微软雅黑" w:hAnsi="微软雅黑" w:eastAsia="微软雅黑" w:cs="微软雅黑"/>
                <w:sz w:val="22"/>
                <w:szCs w:val="22"/>
              </w:rPr>
            </w:pPr>
          </w:p>
        </w:tc>
        <w:tc>
          <w:tcPr>
            <w:tcW w:w="2087" w:type="dxa"/>
            <w:vAlign w:val="top"/>
          </w:tcPr>
          <w:p>
            <w:pPr>
              <w:spacing w:line="257" w:lineRule="auto"/>
              <w:rPr>
                <w:rFonts w:hint="eastAsia" w:ascii="微软雅黑" w:hAnsi="微软雅黑" w:eastAsia="微软雅黑" w:cs="微软雅黑"/>
                <w:sz w:val="22"/>
                <w:szCs w:val="22"/>
              </w:rPr>
            </w:pPr>
          </w:p>
        </w:tc>
        <w:tc>
          <w:tcPr>
            <w:tcW w:w="1927" w:type="dxa"/>
            <w:vAlign w:val="top"/>
          </w:tcPr>
          <w:p>
            <w:pPr>
              <w:spacing w:line="257" w:lineRule="auto"/>
              <w:rPr>
                <w:rFonts w:hint="eastAsia" w:ascii="微软雅黑" w:hAnsi="微软雅黑" w:eastAsia="微软雅黑" w:cs="微软雅黑"/>
                <w:sz w:val="22"/>
                <w:szCs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6"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w:t>
            </w:r>
            <w:r>
              <w:rPr>
                <w:rFonts w:hint="eastAsia" w:ascii="微软雅黑" w:hAnsi="微软雅黑" w:eastAsia="微软雅黑" w:cs="微软雅黑"/>
                <w:spacing w:val="0"/>
                <w:sz w:val="22"/>
                <w:szCs w:val="22"/>
                <w:lang w:val="en-US" w:eastAsia="zh-CN"/>
              </w:rPr>
              <w:t>6</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办理建筑许可</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提升工程建设项目审批管理系统数据质量</w:t>
            </w:r>
          </w:p>
        </w:tc>
        <w:tc>
          <w:tcPr>
            <w:tcW w:w="3262" w:type="dxa"/>
            <w:vAlign w:val="top"/>
          </w:tcPr>
          <w:p>
            <w:pPr>
              <w:spacing w:line="257" w:lineRule="auto"/>
              <w:rPr>
                <w:rFonts w:hint="eastAsia" w:ascii="微软雅黑" w:hAnsi="微软雅黑" w:eastAsia="微软雅黑" w:cs="微软雅黑"/>
                <w:sz w:val="22"/>
                <w:szCs w:val="22"/>
              </w:rPr>
            </w:pPr>
          </w:p>
          <w:p>
            <w:pPr>
              <w:spacing w:before="0" w:line="257" w:lineRule="auto"/>
              <w:ind w:left="0" w:right="0" w:firstLine="0"/>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并联审批率达到80%，工程建设项目审批管理系统审批数据10分钟内共享比例平均数达到96%。</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区住建局</w:t>
            </w:r>
          </w:p>
        </w:tc>
        <w:tc>
          <w:tcPr>
            <w:tcW w:w="1927" w:type="dxa"/>
            <w:vAlign w:val="top"/>
          </w:tcPr>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br w:type="textWrapping"/>
            </w:r>
            <w:r>
              <w:rPr>
                <w:rFonts w:hint="eastAsia" w:ascii="微软雅黑" w:hAnsi="微软雅黑" w:eastAsia="微软雅黑" w:cs="微软雅黑"/>
                <w:spacing w:val="0"/>
                <w:sz w:val="22"/>
                <w:szCs w:val="22"/>
                <w:lang w:eastAsia="zh-CN"/>
              </w:rPr>
              <w:br w:type="textWrapping"/>
            </w:r>
            <w:r>
              <w:rPr>
                <w:rFonts w:hint="eastAsia" w:ascii="微软雅黑" w:hAnsi="微软雅黑" w:eastAsia="微软雅黑" w:cs="微软雅黑"/>
                <w:spacing w:val="0"/>
                <w:sz w:val="22"/>
                <w:szCs w:val="22"/>
                <w:lang w:eastAsia="zh-CN"/>
              </w:rPr>
              <w:t>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5"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w:t>
            </w:r>
            <w:r>
              <w:rPr>
                <w:rFonts w:hint="eastAsia" w:ascii="微软雅黑" w:hAnsi="微软雅黑" w:eastAsia="微软雅黑" w:cs="微软雅黑"/>
                <w:spacing w:val="0"/>
                <w:sz w:val="22"/>
                <w:szCs w:val="22"/>
                <w:lang w:val="en-US" w:eastAsia="zh-CN"/>
              </w:rPr>
              <w:t>7</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办理建筑许可</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推动工程建设项目审批、全流程服务、区政设施接入“三张网”数据融合建设，实</w:t>
            </w:r>
            <w:r>
              <w:rPr>
                <w:rFonts w:hint="eastAsia" w:ascii="微软雅黑" w:hAnsi="微软雅黑" w:eastAsia="微软雅黑" w:cs="微软雅黑"/>
                <w:sz w:val="22"/>
                <w:szCs w:val="22"/>
                <w:lang w:eastAsia="zh-CN"/>
              </w:rPr>
              <w:t>现全程网办</w:t>
            </w:r>
          </w:p>
        </w:tc>
        <w:tc>
          <w:tcPr>
            <w:tcW w:w="3262" w:type="dxa"/>
            <w:vAlign w:val="top"/>
          </w:tcPr>
          <w:p>
            <w:pPr>
              <w:spacing w:before="0" w:line="257" w:lineRule="auto"/>
              <w:ind w:left="0" w:right="0" w:firstLine="0"/>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打通“一张网”，加快推进市工程建设项目审批系统与广西投资项目在线审批监管平台、国土空间基础信息平台、环评审批系统、工程项目建设审批管理系统对接，实现数据融通。扩展“一张网”，深化工程建设项目全流程在线审批，实现行政审批、备案、评估评审、中介服务、市政公用服务等事项全部网上申报、并联审批、信息公开、协调监管。接入“一张网”，大力推进市政公用服务联合报装接入。</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before="0" w:line="257" w:lineRule="auto"/>
              <w:ind w:lef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区住建局</w:t>
            </w:r>
          </w:p>
        </w:tc>
        <w:tc>
          <w:tcPr>
            <w:tcW w:w="1927" w:type="dxa"/>
            <w:vAlign w:val="top"/>
          </w:tcPr>
          <w:p>
            <w:pPr>
              <w:spacing w:before="0" w:line="257" w:lineRule="auto"/>
              <w:ind w:left="0" w:right="0" w:firstLine="0"/>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br w:type="textWrapping"/>
            </w:r>
            <w:r>
              <w:rPr>
                <w:rFonts w:hint="eastAsia" w:ascii="微软雅黑" w:hAnsi="微软雅黑" w:eastAsia="微软雅黑" w:cs="微软雅黑"/>
                <w:spacing w:val="0"/>
                <w:sz w:val="22"/>
                <w:szCs w:val="22"/>
                <w:lang w:eastAsia="zh-CN"/>
              </w:rPr>
              <w:br w:type="textWrapping"/>
            </w:r>
          </w:p>
          <w:p>
            <w:pPr>
              <w:spacing w:before="0" w:line="257" w:lineRule="auto"/>
              <w:ind w:left="0" w:right="0" w:firstLine="0"/>
              <w:jc w:val="center"/>
              <w:rPr>
                <w:rFonts w:hint="eastAsia" w:ascii="微软雅黑" w:hAnsi="微软雅黑" w:eastAsia="微软雅黑" w:cs="微软雅黑"/>
                <w:spacing w:val="0"/>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各有关单位</w:t>
            </w:r>
          </w:p>
        </w:tc>
      </w:tr>
    </w:tbl>
    <w:p>
      <w:pPr>
        <w:spacing w:line="257" w:lineRule="auto"/>
        <w:rPr>
          <w:rFonts w:hint="eastAsia" w:ascii="微软雅黑" w:hAnsi="微软雅黑" w:eastAsia="微软雅黑" w:cs="微软雅黑"/>
          <w:sz w:val="22"/>
          <w:szCs w:val="22"/>
        </w:rPr>
        <w:sectPr>
          <w:footerReference r:id="rId17" w:type="default"/>
          <w:pgSz w:w="16838" w:h="11906"/>
          <w:pgMar w:top="400" w:right="2203" w:bottom="1514" w:left="2104" w:header="0" w:footer="1284"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4"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val="en-US" w:eastAsia="zh-CN"/>
              </w:rPr>
              <w:t>28</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pacing w:val="0"/>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办理建筑许可</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压缩工业项目用地平均供地时间</w:t>
            </w:r>
          </w:p>
        </w:tc>
        <w:tc>
          <w:tcPr>
            <w:tcW w:w="3262" w:type="dxa"/>
            <w:vAlign w:val="top"/>
          </w:tcPr>
          <w:p>
            <w:pPr>
              <w:spacing w:before="0" w:line="257" w:lineRule="auto"/>
              <w:ind w:left="0" w:right="0" w:firstLine="0"/>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2023年工业项目用地平均供地时间不超过35天（供地时间计算始点为发布土地出让公告时间，计算终点为签订成交确认书时间）。</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区自然资源局、园区管委会</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7"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val="en-US" w:eastAsia="zh-CN"/>
              </w:rPr>
              <w:t>29</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pacing w:val="0"/>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办理建筑许可</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提高用地保障服</w:t>
            </w:r>
            <w:r>
              <w:rPr>
                <w:rFonts w:hint="eastAsia" w:ascii="微软雅黑" w:hAnsi="微软雅黑" w:eastAsia="微软雅黑" w:cs="微软雅黑"/>
                <w:sz w:val="22"/>
                <w:szCs w:val="22"/>
                <w:lang w:eastAsia="zh-CN"/>
              </w:rPr>
              <w:t>务质量和效率</w:t>
            </w:r>
          </w:p>
        </w:tc>
        <w:tc>
          <w:tcPr>
            <w:tcW w:w="3262" w:type="dxa"/>
            <w:vAlign w:val="top"/>
          </w:tcPr>
          <w:p>
            <w:pPr>
              <w:spacing w:before="0" w:line="257" w:lineRule="auto"/>
              <w:ind w:left="0" w:right="0"/>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lang w:eastAsia="zh-CN"/>
              </w:rPr>
              <w:t>配合市级</w:t>
            </w:r>
            <w:r>
              <w:rPr>
                <w:rFonts w:hint="eastAsia" w:ascii="微软雅黑" w:hAnsi="微软雅黑" w:eastAsia="微软雅黑" w:cs="微软雅黑"/>
                <w:spacing w:val="0"/>
                <w:sz w:val="22"/>
                <w:szCs w:val="22"/>
              </w:rPr>
              <w:t>推行重大项目用地“三方联动”（三方：项目建设用地区直单位、市县人民政府、项目建设单位）和“分级分类”服务保障机制，加强用地保障统筹调度和上门服务，提高用地保障服务质量和效率。</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区自然资源局、发改局、住建局、园区管委会按职责分工负责</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pacing w:val="0"/>
                <w:sz w:val="22"/>
                <w:szCs w:val="22"/>
                <w:lang w:eastAsia="zh-CN"/>
              </w:rPr>
            </w:pPr>
          </w:p>
          <w:p>
            <w:pPr>
              <w:spacing w:before="0" w:line="257" w:lineRule="auto"/>
              <w:ind w:left="0" w:right="0" w:firstLine="0"/>
              <w:jc w:val="center"/>
              <w:rPr>
                <w:rFonts w:hint="eastAsia" w:ascii="微软雅黑" w:hAnsi="微软雅黑" w:eastAsia="微软雅黑" w:cs="微软雅黑"/>
                <w:spacing w:val="0"/>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区工信局，各有关单位</w:t>
            </w:r>
          </w:p>
        </w:tc>
      </w:tr>
    </w:tbl>
    <w:p>
      <w:pPr>
        <w:spacing w:line="257" w:lineRule="auto"/>
        <w:rPr>
          <w:rFonts w:hint="eastAsia" w:ascii="微软雅黑" w:hAnsi="微软雅黑" w:eastAsia="微软雅黑" w:cs="微软雅黑"/>
          <w:sz w:val="22"/>
          <w:szCs w:val="22"/>
        </w:rPr>
        <w:sectPr>
          <w:footerReference r:id="rId18" w:type="default"/>
          <w:pgSz w:w="16838" w:h="11906"/>
          <w:pgMar w:top="400" w:right="2104" w:bottom="1514" w:left="2203"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4"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3</w:t>
            </w:r>
            <w:r>
              <w:rPr>
                <w:rFonts w:hint="eastAsia" w:ascii="微软雅黑" w:hAnsi="微软雅黑" w:eastAsia="微软雅黑" w:cs="微软雅黑"/>
                <w:spacing w:val="0"/>
                <w:sz w:val="22"/>
                <w:szCs w:val="22"/>
                <w:lang w:val="en-US" w:eastAsia="zh-CN"/>
              </w:rPr>
              <w:t>0</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办理建筑许可</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落实企业投资承诺制规定</w:t>
            </w:r>
          </w:p>
        </w:tc>
        <w:tc>
          <w:tcPr>
            <w:tcW w:w="3262" w:type="dxa"/>
            <w:vAlign w:val="top"/>
          </w:tcPr>
          <w:p>
            <w:pPr>
              <w:spacing w:line="257" w:lineRule="auto"/>
              <w:rPr>
                <w:rFonts w:hint="eastAsia" w:ascii="微软雅黑" w:hAnsi="微软雅黑" w:eastAsia="微软雅黑" w:cs="微软雅黑"/>
                <w:sz w:val="22"/>
                <w:szCs w:val="22"/>
              </w:rPr>
            </w:pPr>
          </w:p>
          <w:p>
            <w:pPr>
              <w:spacing w:before="0" w:line="257" w:lineRule="auto"/>
              <w:ind w:left="0" w:right="0" w:firstLine="0"/>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lang w:eastAsia="zh-CN"/>
              </w:rPr>
              <w:t>配合市级</w:t>
            </w:r>
            <w:r>
              <w:rPr>
                <w:rFonts w:hint="eastAsia" w:ascii="微软雅黑" w:hAnsi="微软雅黑" w:eastAsia="微软雅黑" w:cs="微软雅黑"/>
                <w:spacing w:val="0"/>
                <w:sz w:val="22"/>
                <w:szCs w:val="22"/>
              </w:rPr>
              <w:t>实行“一次委托、联合测绘、成果共享”，深入推进“联合集成办理”。</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区自然资源局、住建局按职责分工负责</w:t>
            </w:r>
          </w:p>
        </w:tc>
        <w:tc>
          <w:tcPr>
            <w:tcW w:w="1927" w:type="dxa"/>
            <w:vAlign w:val="top"/>
          </w:tcPr>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br w:type="textWrapping"/>
            </w:r>
            <w:r>
              <w:rPr>
                <w:rFonts w:hint="eastAsia" w:ascii="微软雅黑" w:hAnsi="微软雅黑" w:eastAsia="微软雅黑" w:cs="微软雅黑"/>
                <w:spacing w:val="0"/>
                <w:sz w:val="22"/>
                <w:szCs w:val="22"/>
                <w:lang w:eastAsia="zh-CN"/>
              </w:rPr>
              <w:br w:type="textWrapping"/>
            </w:r>
            <w:r>
              <w:rPr>
                <w:rFonts w:hint="eastAsia" w:ascii="微软雅黑" w:hAnsi="微软雅黑" w:eastAsia="微软雅黑" w:cs="微软雅黑"/>
                <w:spacing w:val="0"/>
                <w:sz w:val="22"/>
                <w:szCs w:val="22"/>
                <w:lang w:eastAsia="zh-CN"/>
              </w:rPr>
              <w:t>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3"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3</w:t>
            </w:r>
            <w:r>
              <w:rPr>
                <w:rFonts w:hint="eastAsia" w:ascii="微软雅黑" w:hAnsi="微软雅黑" w:eastAsia="微软雅黑" w:cs="微软雅黑"/>
                <w:spacing w:val="0"/>
                <w:sz w:val="22"/>
                <w:szCs w:val="22"/>
                <w:lang w:val="en-US" w:eastAsia="zh-CN"/>
              </w:rPr>
              <w:t>1</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办理建筑许可</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提升投资建设水</w:t>
            </w:r>
            <w:r>
              <w:rPr>
                <w:rFonts w:hint="eastAsia" w:ascii="微软雅黑" w:hAnsi="微软雅黑" w:eastAsia="微软雅黑" w:cs="微软雅黑"/>
                <w:sz w:val="22"/>
                <w:szCs w:val="22"/>
                <w:lang w:eastAsia="zh-CN"/>
              </w:rPr>
              <w:t>平</w:t>
            </w:r>
          </w:p>
        </w:tc>
        <w:tc>
          <w:tcPr>
            <w:tcW w:w="3262" w:type="dxa"/>
            <w:vAlign w:val="top"/>
          </w:tcPr>
          <w:p>
            <w:pPr>
              <w:spacing w:before="0" w:line="257" w:lineRule="auto"/>
              <w:ind w:left="0" w:right="0" w:firstLine="0"/>
              <w:rPr>
                <w:rFonts w:hint="eastAsia" w:ascii="微软雅黑" w:hAnsi="微软雅黑" w:eastAsia="微软雅黑" w:cs="微软雅黑"/>
                <w:spacing w:val="0"/>
                <w:sz w:val="22"/>
                <w:szCs w:val="22"/>
              </w:rPr>
            </w:pPr>
          </w:p>
          <w:p>
            <w:pPr>
              <w:spacing w:before="0" w:line="257" w:lineRule="auto"/>
              <w:ind w:left="0" w:right="0" w:firstLine="0"/>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全面梳理计划新开工项目堵点</w:t>
            </w:r>
            <w:r>
              <w:rPr>
                <w:rFonts w:hint="eastAsia" w:ascii="微软雅黑" w:hAnsi="微软雅黑" w:eastAsia="微软雅黑" w:cs="微软雅黑"/>
                <w:sz w:val="22"/>
                <w:szCs w:val="22"/>
              </w:rPr>
              <w:t>问题，健全投资项目代办帮办机</w:t>
            </w:r>
            <w:r>
              <w:rPr>
                <w:rFonts w:hint="eastAsia" w:ascii="微软雅黑" w:hAnsi="微软雅黑" w:eastAsia="微软雅黑" w:cs="微软雅黑"/>
                <w:spacing w:val="0"/>
                <w:sz w:val="22"/>
                <w:szCs w:val="22"/>
              </w:rPr>
              <w:t>制，重点解决项目审批手续难、</w:t>
            </w:r>
            <w:r>
              <w:rPr>
                <w:rFonts w:hint="eastAsia" w:ascii="微软雅黑" w:hAnsi="微软雅黑" w:eastAsia="微软雅黑" w:cs="微软雅黑"/>
                <w:sz w:val="22"/>
                <w:szCs w:val="22"/>
              </w:rPr>
              <w:t>园区设施不配套、沉淀资金久、</w:t>
            </w:r>
            <w:r>
              <w:rPr>
                <w:rFonts w:hint="eastAsia" w:ascii="微软雅黑" w:hAnsi="微软雅黑" w:eastAsia="微软雅黑" w:cs="微软雅黑"/>
                <w:spacing w:val="0"/>
                <w:sz w:val="22"/>
                <w:szCs w:val="22"/>
              </w:rPr>
              <w:t>“半拉子”工程等问题。</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both"/>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区住建局、自然资源局、园区管委会按职责分工负责</w:t>
            </w:r>
          </w:p>
        </w:tc>
        <w:tc>
          <w:tcPr>
            <w:tcW w:w="1927" w:type="dxa"/>
            <w:vAlign w:val="top"/>
          </w:tcPr>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br w:type="textWrapping"/>
            </w:r>
            <w:r>
              <w:rPr>
                <w:rFonts w:hint="eastAsia" w:ascii="微软雅黑" w:hAnsi="微软雅黑" w:eastAsia="微软雅黑" w:cs="微软雅黑"/>
                <w:spacing w:val="0"/>
                <w:sz w:val="22"/>
                <w:szCs w:val="22"/>
                <w:lang w:eastAsia="zh-CN"/>
              </w:rPr>
              <w:t>区教育局、工信局、文体广旅局、发改局，各有关单位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7"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pacing w:val="0"/>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3</w:t>
            </w:r>
            <w:r>
              <w:rPr>
                <w:rFonts w:hint="eastAsia" w:ascii="微软雅黑" w:hAnsi="微软雅黑" w:eastAsia="微软雅黑" w:cs="微软雅黑"/>
                <w:spacing w:val="0"/>
                <w:sz w:val="22"/>
                <w:szCs w:val="22"/>
                <w:lang w:val="en-US" w:eastAsia="zh-CN"/>
              </w:rPr>
              <w:t>2</w:t>
            </w:r>
          </w:p>
        </w:tc>
        <w:tc>
          <w:tcPr>
            <w:tcW w:w="875" w:type="dxa"/>
            <w:vAlign w:val="top"/>
          </w:tcPr>
          <w:p>
            <w:pPr>
              <w:pStyle w:val="2"/>
              <w:rPr>
                <w:rFonts w:hint="eastAsia"/>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办理建筑许可</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加强广西工程建设领域网上中介服务超市应用</w:t>
            </w:r>
          </w:p>
        </w:tc>
        <w:tc>
          <w:tcPr>
            <w:tcW w:w="3262" w:type="dxa"/>
            <w:vAlign w:val="top"/>
          </w:tcPr>
          <w:p>
            <w:pPr>
              <w:spacing w:line="257" w:lineRule="auto"/>
              <w:rPr>
                <w:rFonts w:hint="eastAsia" w:ascii="微软雅黑" w:hAnsi="微软雅黑" w:eastAsia="微软雅黑" w:cs="微软雅黑"/>
                <w:sz w:val="22"/>
                <w:szCs w:val="22"/>
              </w:rPr>
            </w:pPr>
          </w:p>
          <w:p>
            <w:pPr>
              <w:spacing w:before="0" w:line="257" w:lineRule="auto"/>
              <w:ind w:left="0" w:right="0"/>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加强“广西工程建设领域网上中</w:t>
            </w:r>
            <w:r>
              <w:rPr>
                <w:rFonts w:hint="eastAsia" w:ascii="微软雅黑" w:hAnsi="微软雅黑" w:eastAsia="微软雅黑" w:cs="微软雅黑"/>
                <w:sz w:val="22"/>
                <w:szCs w:val="22"/>
              </w:rPr>
              <w:t>介服务超市”应用，提升企业获</w:t>
            </w:r>
            <w:r>
              <w:rPr>
                <w:rFonts w:hint="eastAsia" w:ascii="微软雅黑" w:hAnsi="微软雅黑" w:eastAsia="微软雅黑" w:cs="微软雅黑"/>
                <w:spacing w:val="0"/>
                <w:sz w:val="22"/>
                <w:szCs w:val="22"/>
              </w:rPr>
              <w:t>得感。</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pacing w:val="0"/>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区住建局</w:t>
            </w:r>
          </w:p>
        </w:tc>
        <w:tc>
          <w:tcPr>
            <w:tcW w:w="1927" w:type="dxa"/>
            <w:vAlign w:val="top"/>
          </w:tcPr>
          <w:p>
            <w:pPr>
              <w:spacing w:before="0" w:line="257" w:lineRule="auto"/>
              <w:ind w:left="0" w:right="0" w:firstLine="0"/>
              <w:jc w:val="center"/>
              <w:rPr>
                <w:rFonts w:hint="eastAsia" w:ascii="微软雅黑" w:hAnsi="微软雅黑" w:eastAsia="微软雅黑" w:cs="微软雅黑"/>
                <w:spacing w:val="0"/>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br w:type="textWrapping"/>
            </w:r>
            <w:r>
              <w:rPr>
                <w:rFonts w:hint="eastAsia" w:ascii="微软雅黑" w:hAnsi="微软雅黑" w:eastAsia="微软雅黑" w:cs="微软雅黑"/>
                <w:spacing w:val="0"/>
                <w:sz w:val="22"/>
                <w:szCs w:val="22"/>
                <w:lang w:eastAsia="zh-CN"/>
              </w:rPr>
              <w:t>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7"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3</w:t>
            </w:r>
            <w:r>
              <w:rPr>
                <w:rFonts w:hint="eastAsia" w:ascii="微软雅黑" w:hAnsi="微软雅黑" w:eastAsia="微软雅黑" w:cs="微软雅黑"/>
                <w:spacing w:val="0"/>
                <w:sz w:val="22"/>
                <w:szCs w:val="22"/>
                <w:lang w:val="en-US" w:eastAsia="zh-CN"/>
              </w:rPr>
              <w:t>3</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办理建筑许可</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加快工业园区建</w:t>
            </w:r>
            <w:r>
              <w:rPr>
                <w:rFonts w:hint="eastAsia" w:ascii="微软雅黑" w:hAnsi="微软雅黑" w:eastAsia="微软雅黑" w:cs="微软雅黑"/>
                <w:sz w:val="22"/>
                <w:szCs w:val="22"/>
                <w:lang w:eastAsia="zh-CN"/>
              </w:rPr>
              <w:t>设</w:t>
            </w:r>
          </w:p>
        </w:tc>
        <w:tc>
          <w:tcPr>
            <w:tcW w:w="3262" w:type="dxa"/>
            <w:vAlign w:val="top"/>
          </w:tcPr>
          <w:p>
            <w:pPr>
              <w:spacing w:before="0" w:line="257" w:lineRule="auto"/>
              <w:ind w:left="0" w:leftChars="0" w:right="0" w:rightChars="0" w:firstLine="0" w:firstLineChars="0"/>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多渠道筹措资金，推进园区道路、给水、排水、电力等基础设施建设，持续提升政务服务、人才服务和生活配套能力，提高园区综合竞争力、承载力和可持续发展能力。</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both"/>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园区管委会、区工信局、财政局、发改局按职责分工负</w:t>
            </w:r>
            <w:r>
              <w:rPr>
                <w:rFonts w:hint="eastAsia" w:ascii="微软雅黑" w:hAnsi="微软雅黑" w:eastAsia="微软雅黑" w:cs="微软雅黑"/>
                <w:sz w:val="22"/>
                <w:szCs w:val="22"/>
                <w:lang w:eastAsia="zh-CN"/>
              </w:rPr>
              <w:t>责</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区住建局、自然资源局</w:t>
            </w:r>
          </w:p>
        </w:tc>
      </w:tr>
    </w:tbl>
    <w:p>
      <w:pPr>
        <w:spacing w:line="257" w:lineRule="auto"/>
        <w:rPr>
          <w:rFonts w:hint="eastAsia" w:ascii="微软雅黑" w:hAnsi="微软雅黑" w:eastAsia="微软雅黑" w:cs="微软雅黑"/>
          <w:sz w:val="22"/>
          <w:szCs w:val="22"/>
        </w:rPr>
        <w:sectPr>
          <w:footerReference r:id="rId19" w:type="default"/>
          <w:pgSz w:w="16838" w:h="11906"/>
          <w:pgMar w:top="400" w:right="2203" w:bottom="1514" w:left="2104"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3"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3</w:t>
            </w:r>
            <w:r>
              <w:rPr>
                <w:rFonts w:hint="eastAsia" w:ascii="微软雅黑" w:hAnsi="微软雅黑" w:eastAsia="微软雅黑" w:cs="微软雅黑"/>
                <w:spacing w:val="0"/>
                <w:sz w:val="22"/>
                <w:szCs w:val="22"/>
                <w:lang w:val="en-US" w:eastAsia="zh-CN"/>
              </w:rPr>
              <w:t>4</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before="0" w:line="257" w:lineRule="auto"/>
              <w:ind w:left="0" w:righ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政府采购</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完善政府采购诚信体系，推进政府采购信用管理</w:t>
            </w:r>
          </w:p>
        </w:tc>
        <w:tc>
          <w:tcPr>
            <w:tcW w:w="3262" w:type="dxa"/>
            <w:vAlign w:val="top"/>
          </w:tcPr>
          <w:p>
            <w:pPr>
              <w:spacing w:before="0" w:line="257" w:lineRule="auto"/>
              <w:ind w:left="0" w:right="0" w:firstLine="0"/>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严格落实涵盖政府采购各方主体、政府采购全流程的诚信制度，将失信主体的违法行为推送至市、自治区、国家三级政府采购网和信用中国（广西）网上公开，对失信主体依法进行处理，努力打造“不敢失信、不能失信、不愿失信”的政府采购环境。</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before="0" w:line="257" w:lineRule="auto"/>
              <w:ind w:left="0" w:righ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区财政局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6"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3</w:t>
            </w:r>
            <w:r>
              <w:rPr>
                <w:rFonts w:hint="eastAsia" w:ascii="微软雅黑" w:hAnsi="微软雅黑" w:eastAsia="微软雅黑" w:cs="微软雅黑"/>
                <w:spacing w:val="0"/>
                <w:sz w:val="22"/>
                <w:szCs w:val="22"/>
                <w:lang w:val="en-US" w:eastAsia="zh-CN"/>
              </w:rPr>
              <w:t>5</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政府采购</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before="0" w:line="257" w:lineRule="auto"/>
              <w:ind w:left="0" w:righ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推动政府采购领域电子证照、电子签章的应用</w:t>
            </w:r>
          </w:p>
        </w:tc>
        <w:tc>
          <w:tcPr>
            <w:tcW w:w="3262" w:type="dxa"/>
            <w:vAlign w:val="top"/>
          </w:tcPr>
          <w:p>
            <w:pPr>
              <w:spacing w:before="0" w:line="257" w:lineRule="auto"/>
              <w:ind w:left="0" w:right="0" w:firstLine="0"/>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鼓励各采购人、政府采购代理机构、供应商采用电子营业执照方式参与政府采购，在供应商参与政府采购项目报名环节，实现政府采购平台自动获取供应商营业执照相关信息，申请人免于提交基础资料。发挥电子营业执照、电子印章、电子签名等新技术优势，实现政府采购电子合同签订，提高异地企业合同签订的效率。</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区财政局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区政管办、区市场监管局</w:t>
            </w:r>
          </w:p>
        </w:tc>
      </w:tr>
    </w:tbl>
    <w:p>
      <w:pPr>
        <w:spacing w:line="257" w:lineRule="auto"/>
        <w:rPr>
          <w:rFonts w:hint="eastAsia" w:ascii="微软雅黑" w:hAnsi="微软雅黑" w:eastAsia="微软雅黑" w:cs="微软雅黑"/>
          <w:sz w:val="22"/>
          <w:szCs w:val="22"/>
        </w:rPr>
        <w:sectPr>
          <w:footerReference r:id="rId20" w:type="default"/>
          <w:pgSz w:w="16838" w:h="11906"/>
          <w:pgMar w:top="400" w:right="2104" w:bottom="1514" w:left="2203"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7" w:hRule="atLeast"/>
        </w:trPr>
        <w:tc>
          <w:tcPr>
            <w:tcW w:w="715" w:type="dxa"/>
            <w:vAlign w:val="top"/>
          </w:tcPr>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3</w:t>
            </w:r>
            <w:r>
              <w:rPr>
                <w:rFonts w:hint="eastAsia" w:ascii="微软雅黑" w:hAnsi="微软雅黑" w:eastAsia="微软雅黑" w:cs="微软雅黑"/>
                <w:spacing w:val="0"/>
                <w:sz w:val="22"/>
                <w:szCs w:val="22"/>
                <w:lang w:val="en-US" w:eastAsia="zh-CN"/>
              </w:rPr>
              <w:t>6</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政府采购</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加快采购项目资金支付速度</w:t>
            </w:r>
          </w:p>
        </w:tc>
        <w:tc>
          <w:tcPr>
            <w:tcW w:w="3262" w:type="dxa"/>
            <w:vAlign w:val="top"/>
          </w:tcPr>
          <w:p>
            <w:pPr>
              <w:spacing w:before="0" w:line="257" w:lineRule="auto"/>
              <w:ind w:left="0" w:right="0"/>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对满足合同约定支付条件的采购项目，采购人需在收到发票后30日内将资金支付到合同约定的供应商账户。</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区财政局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2"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3</w:t>
            </w:r>
            <w:r>
              <w:rPr>
                <w:rFonts w:hint="eastAsia" w:ascii="微软雅黑" w:hAnsi="微软雅黑" w:eastAsia="微软雅黑" w:cs="微软雅黑"/>
                <w:spacing w:val="0"/>
                <w:sz w:val="22"/>
                <w:szCs w:val="22"/>
                <w:lang w:val="en-US" w:eastAsia="zh-CN"/>
              </w:rPr>
              <w:t>7</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政府采购</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before="0" w:line="257" w:lineRule="auto"/>
              <w:ind w:lef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支付预付款</w:t>
            </w:r>
          </w:p>
        </w:tc>
        <w:tc>
          <w:tcPr>
            <w:tcW w:w="3262" w:type="dxa"/>
            <w:vAlign w:val="top"/>
          </w:tcPr>
          <w:p>
            <w:pPr>
              <w:spacing w:before="0" w:line="257" w:lineRule="auto"/>
              <w:ind w:left="0" w:right="0"/>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政府采购货物和服务的采购人在政府采购合同中约定预付款比例的，对中小企业合同预付款比例原则上不低于合同金额的30%，不高于合同金额的50%；项目分年度安排预算的，每年预付款比例不低于项目年度计划支付金额的30%；采购项目以人工投入为主的，可降低预付款比例，但不得低于10%。政府采购工程以及与工程建设有关的货物、服务采用招标方式采购的，预付款从其规定。</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区财政局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val="en-US" w:eastAsia="zh-CN"/>
              </w:rPr>
              <w:t>38</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政府采购</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加强政府采购公正、公平评审</w:t>
            </w:r>
          </w:p>
        </w:tc>
        <w:tc>
          <w:tcPr>
            <w:tcW w:w="3262" w:type="dxa"/>
            <w:vAlign w:val="top"/>
          </w:tcPr>
          <w:p>
            <w:pPr>
              <w:spacing w:before="0" w:line="257" w:lineRule="auto"/>
              <w:ind w:left="0" w:right="0"/>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严格规范全市公共资源交易活动中政府采购领域评审过程出现人为干预、信息泄露等风险，所有政府采购项目进入市公共资源交易中心或代理机构自设电子评标场所评审的，代理机构人员原则上不得进入评标区域。</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区财政局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7"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val="en-US" w:eastAsia="zh-CN"/>
              </w:rPr>
            </w:pPr>
            <w:r>
              <w:rPr>
                <w:rFonts w:hint="eastAsia" w:ascii="微软雅黑" w:hAnsi="微软雅黑" w:eastAsia="微软雅黑" w:cs="微软雅黑"/>
                <w:spacing w:val="0"/>
                <w:sz w:val="22"/>
                <w:szCs w:val="22"/>
                <w:lang w:val="en-US" w:eastAsia="zh-CN"/>
              </w:rPr>
              <w:t>39</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政府采购</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进一步规范政府采购意向公开</w:t>
            </w:r>
          </w:p>
        </w:tc>
        <w:tc>
          <w:tcPr>
            <w:tcW w:w="3262" w:type="dxa"/>
            <w:vAlign w:val="top"/>
          </w:tcPr>
          <w:p>
            <w:pPr>
              <w:spacing w:before="0" w:line="257" w:lineRule="auto"/>
              <w:ind w:left="0" w:leftChars="0" w:right="0" w:rightChars="0" w:firstLine="0" w:firstLineChars="0"/>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除政府采购框架协议采购、电子卖场等小额零星采购和由集中采购机构统一组织的批量集中采购外，按项目实施的集中采购目录以内或者采购限额标准以上的货物、工程、服务采购均应当公开政府采购意向。因严重自然灾害和其他不可抗力等突发事件以及不可预见的原因所实施的紧急采购项目，可不公开政府采购意向。</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区财政局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z w:val="22"/>
                <w:szCs w:val="22"/>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7"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4</w:t>
            </w:r>
            <w:r>
              <w:rPr>
                <w:rFonts w:hint="eastAsia" w:ascii="微软雅黑" w:hAnsi="微软雅黑" w:eastAsia="微软雅黑" w:cs="微软雅黑"/>
                <w:spacing w:val="0"/>
                <w:sz w:val="22"/>
                <w:szCs w:val="22"/>
                <w:lang w:val="en-US" w:eastAsia="zh-CN"/>
              </w:rPr>
              <w:t>0</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招标投标</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推进招标投标全流程电子化</w:t>
            </w:r>
          </w:p>
        </w:tc>
        <w:tc>
          <w:tcPr>
            <w:tcW w:w="3262" w:type="dxa"/>
            <w:vAlign w:val="top"/>
          </w:tcPr>
          <w:p>
            <w:pPr>
              <w:spacing w:before="0" w:line="257" w:lineRule="auto"/>
              <w:ind w:left="0" w:leftChars="0" w:right="0" w:rightChars="0"/>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推进招标投标全流程电子化，进入各级公共资源交易中心招标的工程建设项目全流程电子化率提升到80%以上，推动CA数字证书互认。</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区招标办</w:t>
            </w:r>
          </w:p>
        </w:tc>
        <w:tc>
          <w:tcPr>
            <w:tcW w:w="1927" w:type="dxa"/>
            <w:vAlign w:val="top"/>
          </w:tcPr>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区政管办、住建局、交通运输局、农业农村局、政务网络服务中心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9"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4</w:t>
            </w:r>
            <w:r>
              <w:rPr>
                <w:rFonts w:hint="eastAsia" w:ascii="微软雅黑" w:hAnsi="微软雅黑" w:eastAsia="微软雅黑" w:cs="微软雅黑"/>
                <w:spacing w:val="0"/>
                <w:sz w:val="22"/>
                <w:szCs w:val="22"/>
                <w:lang w:val="en-US" w:eastAsia="zh-CN"/>
              </w:rPr>
              <w:t>1</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招标投标</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清理设置非必要条件排斥潜在竞争者行为</w:t>
            </w:r>
          </w:p>
        </w:tc>
        <w:tc>
          <w:tcPr>
            <w:tcW w:w="3262" w:type="dxa"/>
            <w:vAlign w:val="top"/>
          </w:tcPr>
          <w:p>
            <w:pPr>
              <w:spacing w:before="0" w:line="257" w:lineRule="auto"/>
              <w:ind w:left="0" w:leftChars="0" w:right="0" w:rightChars="0"/>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清理取消企业在招标投标方面存在的差别化待遇，清理通过划分企业等级、增设证明事项、设立项目库、注册、认证、认定等非必要条件排除和限制竞争的行为。</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区招标办</w:t>
            </w:r>
          </w:p>
        </w:tc>
        <w:tc>
          <w:tcPr>
            <w:tcW w:w="1927" w:type="dxa"/>
            <w:vAlign w:val="top"/>
          </w:tcPr>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区住建局、交通运输局、农业农村局</w:t>
            </w:r>
          </w:p>
        </w:tc>
      </w:tr>
    </w:tbl>
    <w:p>
      <w:pPr>
        <w:spacing w:line="257" w:lineRule="auto"/>
        <w:rPr>
          <w:rFonts w:hint="eastAsia" w:ascii="微软雅黑" w:hAnsi="微软雅黑" w:eastAsia="微软雅黑" w:cs="微软雅黑"/>
          <w:sz w:val="22"/>
          <w:szCs w:val="22"/>
        </w:rPr>
        <w:sectPr>
          <w:footerReference r:id="rId21" w:type="default"/>
          <w:pgSz w:w="16838" w:h="11906"/>
          <w:pgMar w:top="400" w:right="2203" w:bottom="1514" w:left="2104"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7" w:hRule="atLeast"/>
        </w:trPr>
        <w:tc>
          <w:tcPr>
            <w:tcW w:w="715" w:type="dxa"/>
            <w:vAlign w:val="top"/>
          </w:tcPr>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4</w:t>
            </w:r>
            <w:r>
              <w:rPr>
                <w:rFonts w:hint="eastAsia" w:ascii="微软雅黑" w:hAnsi="微软雅黑" w:eastAsia="微软雅黑" w:cs="微软雅黑"/>
                <w:spacing w:val="0"/>
                <w:sz w:val="22"/>
                <w:szCs w:val="22"/>
                <w:lang w:val="en-US" w:eastAsia="zh-CN"/>
              </w:rPr>
              <w:t>2</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招标投标</w:t>
            </w:r>
          </w:p>
        </w:tc>
        <w:tc>
          <w:tcPr>
            <w:tcW w:w="1828" w:type="dxa"/>
            <w:vAlign w:val="top"/>
          </w:tcPr>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提高公共资源交易的规范性、高效性、公平性</w:t>
            </w:r>
          </w:p>
        </w:tc>
        <w:tc>
          <w:tcPr>
            <w:tcW w:w="3262" w:type="dxa"/>
            <w:vAlign w:val="top"/>
          </w:tcPr>
          <w:p>
            <w:pPr>
              <w:spacing w:before="0" w:line="257" w:lineRule="auto"/>
              <w:ind w:left="0" w:leftChars="0" w:right="0" w:rightChars="0"/>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深化公共资源交易改革，积极推行专家“随机工位制”远程评标方式，坚决破除“人情标”“讨论定标”等评标乱象。</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both"/>
              <w:rPr>
                <w:rFonts w:hint="eastAsia" w:ascii="微软雅黑" w:hAnsi="微软雅黑" w:eastAsia="微软雅黑" w:cs="微软雅黑"/>
                <w:sz w:val="22"/>
                <w:szCs w:val="22"/>
                <w:lang w:eastAsia="zh-CN"/>
              </w:rPr>
            </w:pPr>
          </w:p>
          <w:p>
            <w:pPr>
              <w:spacing w:before="0" w:line="257" w:lineRule="auto"/>
              <w:ind w:left="0" w:left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区招标办</w:t>
            </w:r>
          </w:p>
        </w:tc>
        <w:tc>
          <w:tcPr>
            <w:tcW w:w="1927" w:type="dxa"/>
            <w:vAlign w:val="top"/>
          </w:tcPr>
          <w:p>
            <w:pPr>
              <w:spacing w:line="257" w:lineRule="auto"/>
              <w:jc w:val="center"/>
              <w:rPr>
                <w:rFonts w:hint="eastAsia" w:ascii="微软雅黑" w:hAnsi="微软雅黑" w:eastAsia="微软雅黑" w:cs="微软雅黑"/>
                <w:spacing w:val="0"/>
                <w:sz w:val="22"/>
                <w:szCs w:val="22"/>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7" w:hRule="atLeast"/>
        </w:trPr>
        <w:tc>
          <w:tcPr>
            <w:tcW w:w="715" w:type="dxa"/>
            <w:vAlign w:val="top"/>
          </w:tcPr>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4</w:t>
            </w:r>
            <w:r>
              <w:rPr>
                <w:rFonts w:hint="eastAsia" w:ascii="微软雅黑" w:hAnsi="微软雅黑" w:eastAsia="微软雅黑" w:cs="微软雅黑"/>
                <w:spacing w:val="0"/>
                <w:sz w:val="22"/>
                <w:szCs w:val="22"/>
                <w:lang w:val="en-US" w:eastAsia="zh-CN"/>
              </w:rPr>
              <w:t>3</w:t>
            </w:r>
          </w:p>
        </w:tc>
        <w:tc>
          <w:tcPr>
            <w:tcW w:w="875" w:type="dxa"/>
            <w:vAlign w:val="top"/>
          </w:tcPr>
          <w:p>
            <w:pPr>
              <w:spacing w:line="257" w:lineRule="auto"/>
              <w:jc w:val="both"/>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招标投标</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及时清退应退未退的沉淀投标保证金</w:t>
            </w:r>
          </w:p>
        </w:tc>
        <w:tc>
          <w:tcPr>
            <w:tcW w:w="3262" w:type="dxa"/>
            <w:vAlign w:val="top"/>
          </w:tcPr>
          <w:p>
            <w:pPr>
              <w:spacing w:before="0" w:line="257" w:lineRule="auto"/>
              <w:ind w:left="0" w:leftChars="0" w:right="0" w:rightChars="0" w:firstLine="0" w:firstLineChars="0"/>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清理各级公共资源交易中心历史沉淀投标保证金，及时向社会公开清理结果。</w:t>
            </w:r>
          </w:p>
        </w:tc>
        <w:tc>
          <w:tcPr>
            <w:tcW w:w="1732" w:type="dxa"/>
            <w:vAlign w:val="top"/>
          </w:tcPr>
          <w:p>
            <w:pPr>
              <w:spacing w:line="257" w:lineRule="auto"/>
              <w:jc w:val="both"/>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both"/>
              <w:rPr>
                <w:rFonts w:hint="eastAsia" w:ascii="微软雅黑" w:hAnsi="微软雅黑" w:eastAsia="微软雅黑" w:cs="微软雅黑"/>
                <w:sz w:val="22"/>
                <w:szCs w:val="22"/>
                <w:lang w:eastAsia="zh-CN"/>
              </w:rPr>
            </w:pPr>
          </w:p>
          <w:p>
            <w:pPr>
              <w:spacing w:before="0" w:line="257" w:lineRule="auto"/>
              <w:ind w:left="0" w:left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区招标办</w:t>
            </w:r>
          </w:p>
        </w:tc>
        <w:tc>
          <w:tcPr>
            <w:tcW w:w="1927" w:type="dxa"/>
            <w:vAlign w:val="top"/>
          </w:tcPr>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区发改局、财政局、住建局、交通运输局、农业农村局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4"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4</w:t>
            </w:r>
            <w:r>
              <w:rPr>
                <w:rFonts w:hint="eastAsia" w:ascii="微软雅黑" w:hAnsi="微软雅黑" w:eastAsia="微软雅黑" w:cs="微软雅黑"/>
                <w:spacing w:val="0"/>
                <w:sz w:val="22"/>
                <w:szCs w:val="22"/>
                <w:lang w:val="en-US" w:eastAsia="zh-CN"/>
              </w:rPr>
              <w:t>4</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获得电力</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健全完善政企协同办电工作机制</w:t>
            </w:r>
          </w:p>
        </w:tc>
        <w:tc>
          <w:tcPr>
            <w:tcW w:w="3262" w:type="dxa"/>
            <w:vAlign w:val="top"/>
          </w:tcPr>
          <w:p>
            <w:pPr>
              <w:spacing w:before="0" w:line="257" w:lineRule="auto"/>
              <w:ind w:left="0" w:leftChars="0" w:right="0" w:rightChars="0"/>
              <w:jc w:val="left"/>
              <w:rPr>
                <w:rFonts w:hint="eastAsia" w:ascii="微软雅黑" w:hAnsi="微软雅黑" w:eastAsia="微软雅黑" w:cs="微软雅黑"/>
                <w:spacing w:val="0"/>
                <w:sz w:val="22"/>
                <w:szCs w:val="22"/>
              </w:rPr>
            </w:pPr>
          </w:p>
          <w:p>
            <w:pPr>
              <w:spacing w:before="0" w:line="257" w:lineRule="auto"/>
              <w:ind w:left="0" w:leftChars="0" w:right="0" w:rightChars="0"/>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超前对接重点产业链企业用电需求，解决企业诉求，持续提升客户办电“获得感”。</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区工信局、发改局，市公安局柳北分局，市场监管局、园区管委会，柳州供电局柳北分局按职责分工负</w:t>
            </w:r>
            <w:r>
              <w:rPr>
                <w:rFonts w:hint="eastAsia" w:ascii="微软雅黑" w:hAnsi="微软雅黑" w:eastAsia="微软雅黑" w:cs="微软雅黑"/>
                <w:sz w:val="22"/>
                <w:szCs w:val="22"/>
                <w:lang w:eastAsia="zh-CN"/>
              </w:rPr>
              <w:t>责</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715" w:type="dxa"/>
            <w:vAlign w:val="top"/>
          </w:tcPr>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val="en-US" w:eastAsia="zh-CN"/>
              </w:rPr>
              <w:t>45</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获得</w:t>
            </w:r>
            <w:r>
              <w:rPr>
                <w:rFonts w:hint="eastAsia" w:ascii="微软雅黑" w:hAnsi="微软雅黑" w:eastAsia="微软雅黑" w:cs="微软雅黑"/>
                <w:spacing w:val="0"/>
                <w:w w:val="100"/>
                <w:sz w:val="22"/>
                <w:szCs w:val="22"/>
                <w:lang w:eastAsia="zh-CN"/>
              </w:rPr>
              <w:t>用水</w:t>
            </w:r>
            <w:r>
              <w:rPr>
                <w:rFonts w:hint="eastAsia" w:ascii="微软雅黑" w:hAnsi="微软雅黑" w:eastAsia="微软雅黑" w:cs="微软雅黑"/>
                <w:sz w:val="22"/>
                <w:szCs w:val="22"/>
                <w:lang w:eastAsia="zh-CN"/>
              </w:rPr>
              <w:t>用气</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加强价格监管</w:t>
            </w:r>
          </w:p>
        </w:tc>
        <w:tc>
          <w:tcPr>
            <w:tcW w:w="3262" w:type="dxa"/>
            <w:vAlign w:val="top"/>
          </w:tcPr>
          <w:p>
            <w:pPr>
              <w:spacing w:before="0" w:line="257" w:lineRule="auto"/>
              <w:ind w:left="0" w:leftChars="0" w:right="0" w:rightChars="0"/>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加强水、电、气等价格监管，严禁强制捆绑销售等行为，加大抽查检查力度，依法查处价格违法违规行为。</w:t>
            </w:r>
          </w:p>
        </w:tc>
        <w:tc>
          <w:tcPr>
            <w:tcW w:w="1732" w:type="dxa"/>
            <w:vAlign w:val="top"/>
          </w:tcPr>
          <w:p>
            <w:pPr>
              <w:spacing w:line="257" w:lineRule="auto"/>
              <w:jc w:val="both"/>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both"/>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区市场监管局</w:t>
            </w:r>
          </w:p>
        </w:tc>
        <w:tc>
          <w:tcPr>
            <w:tcW w:w="1927" w:type="dxa"/>
            <w:vAlign w:val="top"/>
          </w:tcPr>
          <w:p>
            <w:pPr>
              <w:spacing w:before="0" w:line="257" w:lineRule="auto"/>
              <w:ind w:left="0" w:right="0" w:firstLine="0"/>
              <w:jc w:val="both"/>
              <w:rPr>
                <w:rFonts w:hint="eastAsia" w:ascii="微软雅黑" w:hAnsi="微软雅黑" w:eastAsia="微软雅黑" w:cs="微软雅黑"/>
                <w:spacing w:val="0"/>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区发改局，柳州供电局柳北分局</w:t>
            </w:r>
          </w:p>
        </w:tc>
      </w:tr>
    </w:tbl>
    <w:p>
      <w:pPr>
        <w:spacing w:line="257" w:lineRule="auto"/>
        <w:rPr>
          <w:rFonts w:hint="eastAsia" w:ascii="微软雅黑" w:hAnsi="微软雅黑" w:eastAsia="微软雅黑" w:cs="微软雅黑"/>
          <w:sz w:val="22"/>
          <w:szCs w:val="22"/>
        </w:rPr>
        <w:sectPr>
          <w:footerReference r:id="rId22" w:type="default"/>
          <w:pgSz w:w="16838" w:h="11906"/>
          <w:pgMar w:top="400" w:right="2104" w:bottom="1514" w:left="2203"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val="en-US" w:eastAsia="zh-CN"/>
              </w:rPr>
              <w:t>46</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获得</w:t>
            </w:r>
            <w:r>
              <w:rPr>
                <w:rFonts w:hint="eastAsia" w:ascii="微软雅黑" w:hAnsi="微软雅黑" w:eastAsia="微软雅黑" w:cs="微软雅黑"/>
                <w:spacing w:val="0"/>
                <w:w w:val="100"/>
                <w:sz w:val="22"/>
                <w:szCs w:val="22"/>
                <w:lang w:eastAsia="zh-CN"/>
              </w:rPr>
              <w:t>用水</w:t>
            </w:r>
            <w:r>
              <w:rPr>
                <w:rFonts w:hint="eastAsia" w:ascii="微软雅黑" w:hAnsi="微软雅黑" w:eastAsia="微软雅黑" w:cs="微软雅黑"/>
                <w:sz w:val="22"/>
                <w:szCs w:val="22"/>
                <w:lang w:eastAsia="zh-CN"/>
              </w:rPr>
              <w:t>用气</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开展城市水气等管道和设施普查</w:t>
            </w:r>
          </w:p>
        </w:tc>
        <w:tc>
          <w:tcPr>
            <w:tcW w:w="3262" w:type="dxa"/>
            <w:vAlign w:val="top"/>
          </w:tcPr>
          <w:p>
            <w:pPr>
              <w:spacing w:before="0" w:line="257" w:lineRule="auto"/>
              <w:ind w:left="0" w:leftChars="0" w:right="0" w:rightChars="0"/>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运用调查、探测等多种手段，摸清柳州市老旧管道和设施底数，制定水气等老化管道项目清单和分年度改造计划，实现城市供水与燃气管道老化更新改造方案有效对接、同步推进实施。</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both"/>
              <w:rPr>
                <w:rFonts w:hint="eastAsia" w:ascii="微软雅黑" w:hAnsi="微软雅黑" w:eastAsia="微软雅黑" w:cs="微软雅黑"/>
                <w:spacing w:val="0"/>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before="0" w:line="257" w:lineRule="auto"/>
              <w:ind w:left="0" w:left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区住建局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jc w:val="both"/>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br w:type="textWrapping"/>
            </w:r>
            <w:r>
              <w:rPr>
                <w:rFonts w:hint="eastAsia" w:ascii="微软雅黑" w:hAnsi="微软雅黑" w:eastAsia="微软雅黑" w:cs="微软雅黑"/>
                <w:spacing w:val="0"/>
                <w:sz w:val="22"/>
                <w:szCs w:val="22"/>
                <w:lang w:eastAsia="zh-CN"/>
              </w:rPr>
              <w:t>区市场监管局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val="en-US" w:eastAsia="zh-CN"/>
              </w:rPr>
              <w:t>47</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获得信贷</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财政专项支持中小型企业</w:t>
            </w:r>
          </w:p>
        </w:tc>
        <w:tc>
          <w:tcPr>
            <w:tcW w:w="3262" w:type="dxa"/>
            <w:vAlign w:val="top"/>
          </w:tcPr>
          <w:p>
            <w:pPr>
              <w:spacing w:before="0" w:line="257" w:lineRule="auto"/>
              <w:ind w:left="0" w:leftChars="0" w:right="0" w:rightChars="0"/>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对产品有市场、项目有前景、技术有竞争力的中小企业，以及劳动力密集、社会效益高的民生领域服务型中小企业给予专项财政支持。</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区工信局、财政局按职责分工负责</w:t>
            </w:r>
          </w:p>
        </w:tc>
        <w:tc>
          <w:tcPr>
            <w:tcW w:w="1927" w:type="dxa"/>
            <w:vAlign w:val="top"/>
          </w:tcPr>
          <w:p>
            <w:pPr>
              <w:spacing w:before="0" w:line="257" w:lineRule="auto"/>
              <w:ind w:left="0" w:leftChars="0" w:right="0" w:rightChars="0"/>
              <w:jc w:val="center"/>
              <w:rPr>
                <w:rFonts w:hint="eastAsia" w:ascii="微软雅黑" w:hAnsi="微软雅黑" w:eastAsia="微软雅黑" w:cs="微软雅黑"/>
                <w:spacing w:val="0"/>
                <w:sz w:val="22"/>
                <w:szCs w:val="22"/>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5" w:type="dxa"/>
            <w:vAlign w:val="top"/>
          </w:tcPr>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val="en-US" w:eastAsia="zh-CN"/>
              </w:rPr>
              <w:t>48</w:t>
            </w:r>
          </w:p>
        </w:tc>
        <w:tc>
          <w:tcPr>
            <w:tcW w:w="875" w:type="dxa"/>
            <w:vAlign w:val="top"/>
          </w:tcPr>
          <w:p>
            <w:pPr>
              <w:spacing w:line="257" w:lineRule="auto"/>
              <w:jc w:val="both"/>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获得信贷</w:t>
            </w:r>
          </w:p>
        </w:tc>
        <w:tc>
          <w:tcPr>
            <w:tcW w:w="1828" w:type="dxa"/>
            <w:vAlign w:val="top"/>
          </w:tcPr>
          <w:p>
            <w:pPr>
              <w:spacing w:line="257" w:lineRule="auto"/>
              <w:jc w:val="both"/>
              <w:rPr>
                <w:rFonts w:hint="eastAsia" w:ascii="微软雅黑" w:hAnsi="微软雅黑" w:eastAsia="微软雅黑" w:cs="微软雅黑"/>
                <w:sz w:val="22"/>
                <w:szCs w:val="22"/>
                <w:lang w:eastAsia="zh-CN"/>
              </w:rPr>
            </w:pPr>
          </w:p>
          <w:p>
            <w:pPr>
              <w:spacing w:before="0" w:line="257" w:lineRule="auto"/>
              <w:ind w:left="0" w:leftChars="0" w:right="0" w:right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完善个体工商户金融服务</w:t>
            </w:r>
          </w:p>
        </w:tc>
        <w:tc>
          <w:tcPr>
            <w:tcW w:w="3262" w:type="dxa"/>
            <w:vAlign w:val="top"/>
          </w:tcPr>
          <w:p>
            <w:pPr>
              <w:spacing w:before="0" w:line="257" w:lineRule="auto"/>
              <w:ind w:left="0" w:leftChars="0" w:right="0" w:rightChars="0" w:firstLine="0" w:firstLineChars="0"/>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鼓励和引导金融机构利用再贷款、“桂惠贷”、融资担保等支持政策，加大个体工商户金融支持力度。</w:t>
            </w:r>
          </w:p>
        </w:tc>
        <w:tc>
          <w:tcPr>
            <w:tcW w:w="1732" w:type="dxa"/>
            <w:vAlign w:val="top"/>
          </w:tcPr>
          <w:p>
            <w:pPr>
              <w:spacing w:line="257" w:lineRule="auto"/>
              <w:jc w:val="both"/>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区财政局，人民银行柳州市分行，国家金融监督管理总局柳州监管分局按职责分工</w:t>
            </w:r>
          </w:p>
        </w:tc>
        <w:tc>
          <w:tcPr>
            <w:tcW w:w="1927" w:type="dxa"/>
            <w:vAlign w:val="top"/>
          </w:tcPr>
          <w:p>
            <w:pPr>
              <w:spacing w:line="257" w:lineRule="auto"/>
              <w:jc w:val="both"/>
              <w:rPr>
                <w:rFonts w:hint="eastAsia" w:ascii="微软雅黑" w:hAnsi="微软雅黑" w:eastAsia="微软雅黑" w:cs="微软雅黑"/>
                <w:sz w:val="22"/>
                <w:szCs w:val="22"/>
                <w:lang w:eastAsia="zh-CN"/>
              </w:rPr>
            </w:pPr>
          </w:p>
          <w:p>
            <w:pPr>
              <w:spacing w:before="0" w:line="257" w:lineRule="auto"/>
              <w:ind w:left="0" w:left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区市场监管局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5" w:type="dxa"/>
            <w:vAlign w:val="top"/>
          </w:tcPr>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val="en-US" w:eastAsia="zh-CN"/>
              </w:rPr>
              <w:t>49</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获得信贷</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z w:val="22"/>
                <w:szCs w:val="22"/>
                <w:lang w:eastAsia="zh-CN"/>
              </w:rPr>
              <w:t>完善金融服务降低企业成本</w:t>
            </w:r>
          </w:p>
        </w:tc>
        <w:tc>
          <w:tcPr>
            <w:tcW w:w="3262" w:type="dxa"/>
            <w:vAlign w:val="top"/>
          </w:tcPr>
          <w:p>
            <w:pPr>
              <w:spacing w:before="0" w:line="257" w:lineRule="auto"/>
              <w:ind w:left="0" w:leftChars="0" w:right="0" w:rightChars="0" w:firstLine="0" w:firstLineChars="0"/>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整治不合理抽贷断贷，清理融资不必要环节和附加费用。鼓励银行全面提供简易开户免费服务。</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before="0" w:line="257" w:lineRule="auto"/>
              <w:ind w:left="0" w:firstLine="0"/>
              <w:jc w:val="center"/>
              <w:rPr>
                <w:rFonts w:hint="eastAsia" w:ascii="微软雅黑" w:hAnsi="微软雅黑" w:eastAsia="微软雅黑" w:cs="微软雅黑"/>
                <w:spacing w:val="0"/>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区财政局</w:t>
            </w:r>
          </w:p>
        </w:tc>
        <w:tc>
          <w:tcPr>
            <w:tcW w:w="1927" w:type="dxa"/>
            <w:vAlign w:val="top"/>
          </w:tcPr>
          <w:p>
            <w:pPr>
              <w:spacing w:line="257" w:lineRule="auto"/>
              <w:jc w:val="both"/>
              <w:rPr>
                <w:rFonts w:hint="eastAsia" w:ascii="微软雅黑" w:hAnsi="微软雅黑" w:eastAsia="微软雅黑" w:cs="微软雅黑"/>
                <w:sz w:val="22"/>
                <w:szCs w:val="22"/>
                <w:lang w:eastAsia="zh-CN"/>
              </w:rPr>
            </w:pPr>
          </w:p>
          <w:p>
            <w:pPr>
              <w:spacing w:before="0" w:line="257" w:lineRule="auto"/>
              <w:ind w:left="0" w:left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区市场监管局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5" w:type="dxa"/>
            <w:vAlign w:val="top"/>
          </w:tcPr>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z w:val="22"/>
                <w:szCs w:val="22"/>
                <w:lang w:val="en-US" w:eastAsia="zh-CN"/>
              </w:rPr>
              <w:t>50</w:t>
            </w:r>
          </w:p>
        </w:tc>
        <w:tc>
          <w:tcPr>
            <w:tcW w:w="875" w:type="dxa"/>
            <w:vAlign w:val="top"/>
          </w:tcPr>
          <w:p>
            <w:pPr>
              <w:tabs>
                <w:tab w:val="left" w:pos="368"/>
              </w:tabs>
              <w:spacing w:line="257" w:lineRule="auto"/>
              <w:jc w:val="left"/>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获得信贷</w:t>
            </w:r>
          </w:p>
        </w:tc>
        <w:tc>
          <w:tcPr>
            <w:tcW w:w="1828" w:type="dxa"/>
            <w:vAlign w:val="top"/>
          </w:tcPr>
          <w:p>
            <w:pPr>
              <w:spacing w:line="257" w:lineRule="auto"/>
              <w:jc w:val="both"/>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完成应收账款确</w:t>
            </w:r>
            <w:r>
              <w:rPr>
                <w:rFonts w:hint="eastAsia" w:ascii="微软雅黑" w:hAnsi="微软雅黑" w:eastAsia="微软雅黑" w:cs="微软雅黑"/>
                <w:sz w:val="22"/>
                <w:szCs w:val="22"/>
                <w:lang w:eastAsia="zh-CN"/>
              </w:rPr>
              <w:t>权</w:t>
            </w:r>
          </w:p>
        </w:tc>
        <w:tc>
          <w:tcPr>
            <w:tcW w:w="3262" w:type="dxa"/>
            <w:vAlign w:val="top"/>
          </w:tcPr>
          <w:p>
            <w:pPr>
              <w:spacing w:before="0" w:line="257" w:lineRule="auto"/>
              <w:ind w:left="0" w:leftChars="0" w:right="0" w:rightChars="0" w:firstLine="0" w:firstLineChars="0"/>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引导核心企业完成应收账款确权等工作，支持上下游中小企业融资。</w:t>
            </w:r>
          </w:p>
        </w:tc>
        <w:tc>
          <w:tcPr>
            <w:tcW w:w="1732" w:type="dxa"/>
            <w:vAlign w:val="top"/>
          </w:tcPr>
          <w:p>
            <w:pPr>
              <w:spacing w:line="257" w:lineRule="auto"/>
              <w:jc w:val="both"/>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both"/>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区工信局</w:t>
            </w:r>
          </w:p>
        </w:tc>
        <w:tc>
          <w:tcPr>
            <w:tcW w:w="1927" w:type="dxa"/>
            <w:vAlign w:val="top"/>
          </w:tcPr>
          <w:p>
            <w:pPr>
              <w:spacing w:before="0" w:line="257" w:lineRule="auto"/>
              <w:ind w:left="0" w:leftChars="0" w:right="0" w:rightChars="0" w:firstLine="0" w:firstLineChars="0"/>
              <w:jc w:val="both"/>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区财政局、农业农村局、商务局、交通运输局、发改局</w:t>
            </w:r>
          </w:p>
        </w:tc>
      </w:tr>
    </w:tbl>
    <w:p>
      <w:pPr>
        <w:spacing w:line="257" w:lineRule="auto"/>
        <w:rPr>
          <w:rFonts w:hint="eastAsia" w:ascii="微软雅黑" w:hAnsi="微软雅黑" w:eastAsia="微软雅黑" w:cs="微软雅黑"/>
          <w:sz w:val="22"/>
          <w:szCs w:val="22"/>
        </w:rPr>
        <w:sectPr>
          <w:footerReference r:id="rId23" w:type="default"/>
          <w:pgSz w:w="16838" w:h="11906"/>
          <w:pgMar w:top="400" w:right="2104" w:bottom="1514" w:left="2203"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p>
      <w:pPr>
        <w:spacing w:before="0" w:line="257" w:lineRule="auto"/>
        <w:rPr>
          <w:rFonts w:hint="eastAsia" w:ascii="微软雅黑" w:hAnsi="微软雅黑" w:eastAsia="微软雅黑" w:cs="微软雅黑"/>
          <w:sz w:val="22"/>
          <w:szCs w:val="22"/>
        </w:rPr>
      </w:pPr>
    </w:p>
    <w:p>
      <w:pPr>
        <w:spacing w:before="0" w:line="257" w:lineRule="auto"/>
        <w:rPr>
          <w:rFonts w:hint="eastAsia" w:ascii="微软雅黑" w:hAnsi="微软雅黑" w:eastAsia="微软雅黑" w:cs="微软雅黑"/>
          <w:sz w:val="22"/>
          <w:szCs w:val="22"/>
        </w:rPr>
      </w:pPr>
    </w:p>
    <w:tbl>
      <w:tblPr>
        <w:tblStyle w:val="8"/>
        <w:tblW w:w="12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4"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val="en-US" w:eastAsia="zh-CN"/>
              </w:rPr>
              <w:t>51</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获得信贷</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加大“桂惠贷”投放力度</w:t>
            </w:r>
          </w:p>
        </w:tc>
        <w:tc>
          <w:tcPr>
            <w:tcW w:w="3262" w:type="dxa"/>
            <w:vAlign w:val="top"/>
          </w:tcPr>
          <w:p>
            <w:pPr>
              <w:spacing w:before="0" w:line="257" w:lineRule="auto"/>
              <w:ind w:left="0" w:leftChars="0" w:right="0" w:rightChars="0" w:firstLine="0" w:firstLineChars="0"/>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力争“桂惠贷”全年惠及1万户市场主体以上。根据自治区</w:t>
            </w:r>
            <w:r>
              <w:rPr>
                <w:rFonts w:hint="eastAsia" w:ascii="微软雅黑" w:hAnsi="微软雅黑" w:eastAsia="微软雅黑" w:cs="微软雅黑"/>
                <w:spacing w:val="0"/>
                <w:sz w:val="22"/>
                <w:szCs w:val="22"/>
                <w:lang w:eastAsia="zh-CN"/>
              </w:rPr>
              <w:t>、柳州市</w:t>
            </w:r>
            <w:r>
              <w:rPr>
                <w:rFonts w:hint="eastAsia" w:ascii="微软雅黑" w:hAnsi="微软雅黑" w:eastAsia="微软雅黑" w:cs="微软雅黑"/>
                <w:spacing w:val="0"/>
                <w:sz w:val="22"/>
                <w:szCs w:val="22"/>
              </w:rPr>
              <w:t>政策，通过适当调整部分产品贴息范围、贴息比例、贴息上限等措施，进一步优化产品设置和投放结构，持续引导金融机构聚焦普惠领域和重点产业，不断提升对小微企业、个体工商户、“首贷户”以及入库白名单企业的投放量、惠及面和精准度，提升普惠金融服务质效和重点产业融资保障能力。</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right="0" w:right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区财政局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br w:type="textWrapp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4" w:hRule="atLeast"/>
        </w:trPr>
        <w:tc>
          <w:tcPr>
            <w:tcW w:w="715" w:type="dxa"/>
            <w:vAlign w:val="top"/>
          </w:tcPr>
          <w:p>
            <w:pPr>
              <w:spacing w:before="0" w:line="257" w:lineRule="auto"/>
              <w:ind w:left="0" w:leftChars="0" w:firstLine="0" w:firstLineChars="0"/>
              <w:jc w:val="both"/>
              <w:rPr>
                <w:rFonts w:hint="eastAsia" w:ascii="微软雅黑" w:hAnsi="微软雅黑" w:eastAsia="微软雅黑" w:cs="微软雅黑"/>
                <w:spacing w:val="0"/>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val="en-US" w:eastAsia="zh-CN"/>
              </w:rPr>
              <w:t>52</w:t>
            </w:r>
          </w:p>
        </w:tc>
        <w:tc>
          <w:tcPr>
            <w:tcW w:w="875" w:type="dxa"/>
            <w:vAlign w:val="top"/>
          </w:tcPr>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获得信贷</w:t>
            </w:r>
          </w:p>
        </w:tc>
        <w:tc>
          <w:tcPr>
            <w:tcW w:w="1828" w:type="dxa"/>
            <w:vAlign w:val="top"/>
          </w:tcPr>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持续推进企业上</w:t>
            </w:r>
            <w:r>
              <w:rPr>
                <w:rFonts w:hint="eastAsia" w:ascii="微软雅黑" w:hAnsi="微软雅黑" w:eastAsia="微软雅黑" w:cs="微软雅黑"/>
                <w:sz w:val="22"/>
                <w:szCs w:val="22"/>
                <w:lang w:eastAsia="zh-CN"/>
              </w:rPr>
              <w:t>市</w:t>
            </w:r>
          </w:p>
        </w:tc>
        <w:tc>
          <w:tcPr>
            <w:tcW w:w="3262" w:type="dxa"/>
            <w:vAlign w:val="top"/>
          </w:tcPr>
          <w:p>
            <w:pPr>
              <w:spacing w:before="0" w:line="257" w:lineRule="auto"/>
              <w:ind w:left="0" w:leftChars="0" w:right="0" w:rightChars="0" w:firstLine="0" w:firstLineChars="0"/>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配合</w:t>
            </w:r>
            <w:r>
              <w:rPr>
                <w:rFonts w:hint="eastAsia" w:ascii="微软雅黑" w:hAnsi="微软雅黑" w:eastAsia="微软雅黑" w:cs="微软雅黑"/>
                <w:spacing w:val="0"/>
                <w:sz w:val="22"/>
                <w:szCs w:val="22"/>
                <w:lang w:eastAsia="zh-CN"/>
              </w:rPr>
              <w:t>柳州市</w:t>
            </w:r>
            <w:r>
              <w:rPr>
                <w:rFonts w:hint="eastAsia" w:ascii="微软雅黑" w:hAnsi="微软雅黑" w:eastAsia="微软雅黑" w:cs="微软雅黑"/>
                <w:spacing w:val="0"/>
                <w:sz w:val="22"/>
                <w:szCs w:val="22"/>
              </w:rPr>
              <w:t>实施企业上市专项行动计划，支持创新能力强和发展潜力大的企业上市（挂牌）。</w:t>
            </w:r>
          </w:p>
        </w:tc>
        <w:tc>
          <w:tcPr>
            <w:tcW w:w="1732" w:type="dxa"/>
            <w:vAlign w:val="top"/>
          </w:tcPr>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right="0" w:right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区财政局</w:t>
            </w:r>
          </w:p>
        </w:tc>
        <w:tc>
          <w:tcPr>
            <w:tcW w:w="1927" w:type="dxa"/>
            <w:vAlign w:val="top"/>
          </w:tcPr>
          <w:p>
            <w:pPr>
              <w:spacing w:line="257" w:lineRule="auto"/>
              <w:jc w:val="center"/>
              <w:rPr>
                <w:rFonts w:hint="eastAsia" w:ascii="微软雅黑" w:hAnsi="微软雅黑" w:eastAsia="微软雅黑" w:cs="微软雅黑"/>
                <w:spacing w:val="0"/>
                <w:sz w:val="22"/>
                <w:szCs w:val="22"/>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2" w:hRule="atLeast"/>
        </w:trPr>
        <w:tc>
          <w:tcPr>
            <w:tcW w:w="715" w:type="dxa"/>
            <w:vAlign w:val="top"/>
          </w:tcPr>
          <w:p>
            <w:pPr>
              <w:spacing w:before="0" w:line="257" w:lineRule="auto"/>
              <w:ind w:left="0" w:leftChars="0" w:firstLine="0" w:firstLineChars="0"/>
              <w:jc w:val="both"/>
              <w:rPr>
                <w:rFonts w:hint="eastAsia" w:ascii="微软雅黑" w:hAnsi="微软雅黑" w:eastAsia="微软雅黑" w:cs="微软雅黑"/>
                <w:spacing w:val="0"/>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val="en-US" w:eastAsia="zh-CN"/>
              </w:rPr>
              <w:t>53</w:t>
            </w:r>
          </w:p>
        </w:tc>
        <w:tc>
          <w:tcPr>
            <w:tcW w:w="875" w:type="dxa"/>
            <w:vAlign w:val="top"/>
          </w:tcPr>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获得信贷</w:t>
            </w:r>
          </w:p>
        </w:tc>
        <w:tc>
          <w:tcPr>
            <w:tcW w:w="1828" w:type="dxa"/>
            <w:vAlign w:val="top"/>
          </w:tcPr>
          <w:p>
            <w:pPr>
              <w:spacing w:before="0" w:line="257" w:lineRule="auto"/>
              <w:ind w:left="0" w:leftChars="0" w:right="0" w:rightChars="0"/>
              <w:jc w:val="center"/>
              <w:rPr>
                <w:rFonts w:hint="eastAsia" w:ascii="微软雅黑" w:hAnsi="微软雅黑" w:eastAsia="微软雅黑" w:cs="微软雅黑"/>
                <w:spacing w:val="0"/>
                <w:sz w:val="22"/>
                <w:szCs w:val="22"/>
                <w:lang w:eastAsia="zh-CN"/>
              </w:rPr>
            </w:pPr>
          </w:p>
          <w:p>
            <w:pPr>
              <w:spacing w:before="0" w:line="257" w:lineRule="auto"/>
              <w:ind w:left="0" w:leftChars="0" w:right="0" w:right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加大优质企业挖掘力度</w:t>
            </w:r>
          </w:p>
        </w:tc>
        <w:tc>
          <w:tcPr>
            <w:tcW w:w="3262" w:type="dxa"/>
            <w:vAlign w:val="top"/>
          </w:tcPr>
          <w:p>
            <w:pPr>
              <w:spacing w:before="0" w:line="257" w:lineRule="auto"/>
              <w:ind w:left="0" w:leftChars="0" w:right="0" w:rightChars="0"/>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深入推进区域性股权市场区块链建设工作，持续夯实“专精特新”板块，建立孵化、培育、规范企业的分层服务体系。</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leftChars="0" w:right="0" w:righ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before="0" w:line="257" w:lineRule="auto"/>
              <w:ind w:right="0" w:rightChars="0"/>
              <w:jc w:val="center"/>
              <w:rPr>
                <w:rFonts w:hint="eastAsia" w:ascii="微软雅黑" w:hAnsi="微软雅黑" w:eastAsia="微软雅黑" w:cs="微软雅黑"/>
                <w:spacing w:val="0"/>
                <w:sz w:val="22"/>
                <w:szCs w:val="22"/>
                <w:lang w:eastAsia="zh-CN"/>
              </w:rPr>
            </w:pPr>
          </w:p>
          <w:p>
            <w:pPr>
              <w:spacing w:before="0" w:line="257" w:lineRule="auto"/>
              <w:ind w:right="0" w:right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区财政局</w:t>
            </w:r>
          </w:p>
        </w:tc>
        <w:tc>
          <w:tcPr>
            <w:tcW w:w="1927" w:type="dxa"/>
            <w:vAlign w:val="top"/>
          </w:tcPr>
          <w:p>
            <w:pPr>
              <w:spacing w:line="257" w:lineRule="auto"/>
              <w:jc w:val="center"/>
              <w:rPr>
                <w:rFonts w:hint="eastAsia" w:ascii="微软雅黑" w:hAnsi="微软雅黑" w:eastAsia="微软雅黑" w:cs="微软雅黑"/>
                <w:spacing w:val="0"/>
                <w:sz w:val="22"/>
                <w:szCs w:val="22"/>
                <w:lang w:eastAsia="zh-CN"/>
              </w:rPr>
            </w:pPr>
          </w:p>
        </w:tc>
      </w:tr>
    </w:tbl>
    <w:tbl>
      <w:tblPr>
        <w:tblStyle w:val="8"/>
        <w:tblpPr w:leftFromText="180" w:rightFromText="180" w:vertAnchor="text" w:horzAnchor="page" w:tblpX="2203" w:tblpY="37"/>
        <w:tblOverlap w:val="never"/>
        <w:tblW w:w="1242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15" w:type="dxa"/>
            <w:vAlign w:val="top"/>
          </w:tcPr>
          <w:p>
            <w:pPr>
              <w:spacing w:before="104" w:line="242" w:lineRule="auto"/>
              <w:ind w:left="138" w:leftChars="0"/>
              <w:jc w:val="center"/>
              <w:rPr>
                <w:rFonts w:hint="eastAsia" w:ascii="微软雅黑" w:hAnsi="微软雅黑" w:eastAsia="微软雅黑" w:cs="微软雅黑"/>
                <w:spacing w:val="0"/>
                <w:sz w:val="22"/>
                <w:szCs w:val="22"/>
                <w:lang w:val="en-US" w:eastAsia="zh-CN"/>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leftChars="0"/>
              <w:jc w:val="center"/>
              <w:rPr>
                <w:rFonts w:hint="eastAsia" w:ascii="微软雅黑" w:hAnsi="微软雅黑" w:eastAsia="微软雅黑" w:cs="微软雅黑"/>
                <w:spacing w:val="0"/>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leftChars="0"/>
              <w:jc w:val="center"/>
              <w:rPr>
                <w:rFonts w:hint="eastAsia" w:ascii="微软雅黑" w:hAnsi="微软雅黑" w:eastAsia="微软雅黑" w:cs="微软雅黑"/>
                <w:spacing w:val="0"/>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leftChars="0"/>
              <w:jc w:val="center"/>
              <w:rPr>
                <w:rFonts w:hint="eastAsia" w:ascii="微软雅黑" w:hAnsi="微软雅黑" w:eastAsia="微软雅黑" w:cs="微软雅黑"/>
                <w:spacing w:val="0"/>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leftChars="0"/>
              <w:jc w:val="center"/>
              <w:rPr>
                <w:rFonts w:hint="eastAsia" w:ascii="微软雅黑" w:hAnsi="微软雅黑" w:eastAsia="微软雅黑" w:cs="微软雅黑"/>
                <w:spacing w:val="0"/>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left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leftChars="0"/>
              <w:jc w:val="center"/>
              <w:rPr>
                <w:rFonts w:hint="eastAsia" w:ascii="微软雅黑" w:hAnsi="微软雅黑" w:eastAsia="微软雅黑" w:cs="微软雅黑"/>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715" w:type="dxa"/>
            <w:vAlign w:val="top"/>
          </w:tcPr>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val="en-US" w:eastAsia="zh-CN"/>
              </w:rPr>
              <w:t>54</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获得信贷</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多措施强化金融纾困帮扶力度</w:t>
            </w:r>
          </w:p>
        </w:tc>
        <w:tc>
          <w:tcPr>
            <w:tcW w:w="3262" w:type="dxa"/>
            <w:vAlign w:val="top"/>
          </w:tcPr>
          <w:p>
            <w:pPr>
              <w:spacing w:before="0" w:line="257" w:lineRule="auto"/>
              <w:ind w:left="0" w:right="0" w:firstLine="0"/>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实施精准调度，开发“桂惠贷—纾困稳企贷”，加大对受疫情影响较大的交通、住宿、文旅等行业的支持力度。</w:t>
            </w:r>
          </w:p>
        </w:tc>
        <w:tc>
          <w:tcPr>
            <w:tcW w:w="1732" w:type="dxa"/>
            <w:vAlign w:val="top"/>
          </w:tcPr>
          <w:p>
            <w:pPr>
              <w:spacing w:before="0" w:line="257" w:lineRule="auto"/>
              <w:ind w:left="0" w:right="0" w:firstLine="0"/>
              <w:jc w:val="both"/>
              <w:rPr>
                <w:rFonts w:hint="eastAsia" w:ascii="微软雅黑" w:hAnsi="微软雅黑" w:eastAsia="微软雅黑" w:cs="微软雅黑"/>
                <w:spacing w:val="0"/>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both"/>
              <w:rPr>
                <w:rFonts w:hint="eastAsia" w:ascii="微软雅黑" w:hAnsi="微软雅黑" w:eastAsia="微软雅黑" w:cs="微软雅黑"/>
                <w:sz w:val="22"/>
                <w:szCs w:val="22"/>
                <w:lang w:eastAsia="zh-CN"/>
              </w:rPr>
            </w:pPr>
          </w:p>
          <w:p>
            <w:pPr>
              <w:spacing w:before="0" w:line="257" w:lineRule="auto"/>
              <w:ind w:righ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区财政局</w:t>
            </w:r>
          </w:p>
        </w:tc>
        <w:tc>
          <w:tcPr>
            <w:tcW w:w="1927" w:type="dxa"/>
            <w:vAlign w:val="top"/>
          </w:tcPr>
          <w:p>
            <w:pPr>
              <w:spacing w:before="0" w:line="257" w:lineRule="auto"/>
              <w:ind w:left="0" w:right="0"/>
              <w:jc w:val="center"/>
              <w:rPr>
                <w:rFonts w:hint="eastAsia" w:ascii="微软雅黑" w:hAnsi="微软雅黑" w:eastAsia="微软雅黑" w:cs="微软雅黑"/>
                <w:sz w:val="22"/>
                <w:szCs w:val="22"/>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4"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val="en-US" w:eastAsia="zh-CN"/>
              </w:rPr>
              <w:t>55</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获得信贷</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多渠道缓解企业成本上涨压力</w:t>
            </w:r>
          </w:p>
        </w:tc>
        <w:tc>
          <w:tcPr>
            <w:tcW w:w="3262" w:type="dxa"/>
            <w:vAlign w:val="top"/>
          </w:tcPr>
          <w:p>
            <w:pPr>
              <w:spacing w:before="0" w:line="257" w:lineRule="auto"/>
              <w:ind w:left="0" w:right="0" w:firstLine="0"/>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鼓励期货经营机构开展中小企业套期保值业务培训，支持期货经营机构通过场内期货、期权业务为中小企业提供期货套期保值服务。</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righ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区财政局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区商务局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4"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val="en-US" w:eastAsia="zh-CN"/>
              </w:rPr>
              <w:t>56</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获得信贷</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建立健全“桂惠贷”名单制产品准入与退出机制</w:t>
            </w:r>
          </w:p>
        </w:tc>
        <w:tc>
          <w:tcPr>
            <w:tcW w:w="3262" w:type="dxa"/>
            <w:vAlign w:val="top"/>
          </w:tcPr>
          <w:p>
            <w:pPr>
              <w:spacing w:line="257" w:lineRule="auto"/>
              <w:rPr>
                <w:rFonts w:hint="eastAsia" w:ascii="微软雅黑" w:hAnsi="微软雅黑" w:eastAsia="微软雅黑" w:cs="微软雅黑"/>
                <w:sz w:val="22"/>
                <w:szCs w:val="22"/>
              </w:rPr>
            </w:pPr>
          </w:p>
          <w:p>
            <w:pPr>
              <w:spacing w:before="0" w:line="257" w:lineRule="auto"/>
              <w:ind w:left="0" w:right="0" w:firstLine="0"/>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明确准入条件、申请程序以及动态调整规则，引导金融机构重点支持工业、中小微企业、民营企业和涉农领域，提高“桂惠贷”投放精准度和便利度。</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firstLine="0"/>
              <w:jc w:val="both"/>
              <w:rPr>
                <w:rFonts w:hint="eastAsia" w:ascii="微软雅黑" w:hAnsi="微软雅黑" w:eastAsia="微软雅黑" w:cs="微软雅黑"/>
                <w:spacing w:val="0"/>
                <w:sz w:val="22"/>
                <w:szCs w:val="22"/>
                <w:lang w:eastAsia="zh-CN"/>
              </w:rPr>
            </w:pPr>
          </w:p>
          <w:p>
            <w:pPr>
              <w:spacing w:before="0" w:line="257" w:lineRule="auto"/>
              <w:ind w:lef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区财政局</w:t>
            </w:r>
          </w:p>
        </w:tc>
        <w:tc>
          <w:tcPr>
            <w:tcW w:w="1927" w:type="dxa"/>
            <w:vAlign w:val="top"/>
          </w:tcPr>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br w:type="textWrapping"/>
            </w:r>
            <w:r>
              <w:rPr>
                <w:rFonts w:hint="eastAsia" w:ascii="微软雅黑" w:hAnsi="微软雅黑" w:eastAsia="微软雅黑" w:cs="微软雅黑"/>
                <w:spacing w:val="0"/>
                <w:sz w:val="22"/>
                <w:szCs w:val="22"/>
                <w:lang w:eastAsia="zh-CN"/>
              </w:rPr>
              <w:t>区工商联、工信局、区</w:t>
            </w:r>
            <w:ins w:id="322" w:author="Rancho" w:date="2023-12-22T15:56:45Z">
              <w:r>
                <w:rPr>
                  <w:rFonts w:hint="eastAsia" w:ascii="微软雅黑" w:hAnsi="微软雅黑" w:eastAsia="微软雅黑" w:cs="微软雅黑"/>
                  <w:spacing w:val="0"/>
                  <w:sz w:val="22"/>
                  <w:szCs w:val="22"/>
                  <w:lang w:val="en-US" w:eastAsia="zh-CN"/>
                </w:rPr>
                <w:t>市</w:t>
              </w:r>
            </w:ins>
            <w:r>
              <w:rPr>
                <w:rFonts w:hint="eastAsia" w:ascii="微软雅黑" w:hAnsi="微软雅黑" w:eastAsia="微软雅黑" w:cs="微软雅黑"/>
                <w:spacing w:val="0"/>
                <w:sz w:val="22"/>
                <w:szCs w:val="22"/>
                <w:lang w:eastAsia="zh-CN"/>
              </w:rPr>
              <w:t>场监管局、乡村振兴局，各有关单位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7" w:hRule="atLeast"/>
        </w:trPr>
        <w:tc>
          <w:tcPr>
            <w:tcW w:w="71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val="en-US" w:eastAsia="zh-CN"/>
              </w:rPr>
              <w:t>57</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获得信贷</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推进“桂惠贷”与工业振兴支持政策联动</w:t>
            </w:r>
          </w:p>
        </w:tc>
        <w:tc>
          <w:tcPr>
            <w:tcW w:w="3262" w:type="dxa"/>
            <w:vAlign w:val="top"/>
          </w:tcPr>
          <w:p>
            <w:pPr>
              <w:spacing w:line="257" w:lineRule="auto"/>
              <w:rPr>
                <w:rFonts w:hint="eastAsia" w:ascii="微软雅黑" w:hAnsi="微软雅黑" w:eastAsia="微软雅黑" w:cs="微软雅黑"/>
                <w:sz w:val="22"/>
                <w:szCs w:val="22"/>
              </w:rPr>
            </w:pPr>
          </w:p>
          <w:p>
            <w:pPr>
              <w:spacing w:before="0" w:line="257" w:lineRule="auto"/>
              <w:ind w:left="0" w:right="0" w:firstLine="0"/>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对列入“双百双新”“千企技改”的项目，实行投资补助和制造业中长期项目等贷款贴息政策叠加。</w:t>
            </w:r>
          </w:p>
        </w:tc>
        <w:tc>
          <w:tcPr>
            <w:tcW w:w="1732" w:type="dxa"/>
            <w:vAlign w:val="top"/>
          </w:tcPr>
          <w:p>
            <w:pPr>
              <w:spacing w:line="257" w:lineRule="auto"/>
              <w:jc w:val="both"/>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区工信局、财政局按职责分工负责</w:t>
            </w:r>
          </w:p>
        </w:tc>
        <w:tc>
          <w:tcPr>
            <w:tcW w:w="1927" w:type="dxa"/>
            <w:vAlign w:val="top"/>
          </w:tcPr>
          <w:p>
            <w:pPr>
              <w:spacing w:before="0" w:line="257" w:lineRule="auto"/>
              <w:ind w:left="0" w:right="0" w:firstLine="0"/>
              <w:jc w:val="both"/>
              <w:rPr>
                <w:rFonts w:hint="eastAsia" w:ascii="微软雅黑" w:hAnsi="微软雅黑" w:eastAsia="微软雅黑" w:cs="微软雅黑"/>
                <w:spacing w:val="0"/>
                <w:sz w:val="22"/>
                <w:szCs w:val="22"/>
                <w:lang w:eastAsia="zh-CN"/>
              </w:rPr>
            </w:pPr>
          </w:p>
          <w:p>
            <w:pPr>
              <w:spacing w:before="0" w:line="257" w:lineRule="auto"/>
              <w:ind w:left="0" w:right="0" w:firstLine="0"/>
              <w:jc w:val="both"/>
              <w:rPr>
                <w:rFonts w:hint="eastAsia" w:ascii="微软雅黑" w:hAnsi="微软雅黑" w:eastAsia="微软雅黑" w:cs="微软雅黑"/>
                <w:spacing w:val="0"/>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区市场监管局、乡村振兴局</w:t>
            </w:r>
          </w:p>
        </w:tc>
      </w:tr>
    </w:tbl>
    <w:p>
      <w:pPr>
        <w:spacing w:line="257" w:lineRule="auto"/>
        <w:jc w:val="center"/>
        <w:rPr>
          <w:rFonts w:hint="eastAsia" w:ascii="微软雅黑" w:hAnsi="微软雅黑" w:eastAsia="微软雅黑" w:cs="微软雅黑"/>
          <w:sz w:val="22"/>
          <w:szCs w:val="22"/>
        </w:rPr>
        <w:sectPr>
          <w:footerReference r:id="rId24" w:type="default"/>
          <w:pgSz w:w="16838" w:h="11906"/>
          <w:pgMar w:top="400" w:right="2104" w:bottom="1514" w:left="2203"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4"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val="en-US" w:eastAsia="zh-CN"/>
              </w:rPr>
              <w:t>58</w:t>
            </w:r>
          </w:p>
        </w:tc>
        <w:tc>
          <w:tcPr>
            <w:tcW w:w="875" w:type="dxa"/>
            <w:vAlign w:val="top"/>
          </w:tcPr>
          <w:p>
            <w:pPr>
              <w:spacing w:before="0" w:line="257" w:lineRule="auto"/>
              <w:ind w:left="0" w:right="0" w:firstLine="0"/>
              <w:jc w:val="center"/>
              <w:rPr>
                <w:rFonts w:hint="eastAsia" w:ascii="微软雅黑" w:hAnsi="微软雅黑" w:eastAsia="微软雅黑" w:cs="微软雅黑"/>
                <w:spacing w:val="0"/>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知识产权创造保护和运</w:t>
            </w:r>
            <w:r>
              <w:rPr>
                <w:rFonts w:hint="eastAsia" w:ascii="微软雅黑" w:hAnsi="微软雅黑" w:eastAsia="微软雅黑" w:cs="微软雅黑"/>
                <w:sz w:val="22"/>
                <w:szCs w:val="22"/>
                <w:lang w:eastAsia="zh-CN"/>
              </w:rPr>
              <w:t>用</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进一步提高知识产权司法保护成</w:t>
            </w:r>
            <w:r>
              <w:rPr>
                <w:rFonts w:hint="eastAsia" w:ascii="微软雅黑" w:hAnsi="微软雅黑" w:eastAsia="微软雅黑" w:cs="微软雅黑"/>
                <w:sz w:val="22"/>
                <w:szCs w:val="22"/>
                <w:lang w:eastAsia="zh-CN"/>
              </w:rPr>
              <w:t>效</w:t>
            </w:r>
          </w:p>
        </w:tc>
        <w:tc>
          <w:tcPr>
            <w:tcW w:w="3262" w:type="dxa"/>
            <w:vAlign w:val="top"/>
          </w:tcPr>
          <w:p>
            <w:pPr>
              <w:spacing w:line="257" w:lineRule="auto"/>
              <w:rPr>
                <w:rFonts w:hint="eastAsia" w:ascii="微软雅黑" w:hAnsi="微软雅黑" w:eastAsia="微软雅黑" w:cs="微软雅黑"/>
                <w:sz w:val="22"/>
                <w:szCs w:val="22"/>
              </w:rPr>
            </w:pPr>
          </w:p>
          <w:p>
            <w:pPr>
              <w:spacing w:before="0" w:line="257" w:lineRule="auto"/>
              <w:ind w:left="0" w:right="0" w:firstLine="0"/>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开展知识产权案件集中管辖试点，优化检察机关知识产权案件管辖，探索知识产权检察集中统一履职。</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区人民检察院</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br w:type="textWrapping"/>
            </w:r>
            <w:r>
              <w:rPr>
                <w:rFonts w:hint="eastAsia" w:ascii="微软雅黑" w:hAnsi="微软雅黑" w:eastAsia="微软雅黑" w:cs="微软雅黑"/>
                <w:spacing w:val="0"/>
                <w:sz w:val="22"/>
                <w:szCs w:val="22"/>
                <w:lang w:eastAsia="zh-CN"/>
              </w:rPr>
              <w:t>市公安局柳北分局，各有关单位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4"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val="en-US" w:eastAsia="zh-CN"/>
              </w:rPr>
              <w:t>59</w:t>
            </w:r>
          </w:p>
        </w:tc>
        <w:tc>
          <w:tcPr>
            <w:tcW w:w="875" w:type="dxa"/>
            <w:vAlign w:val="top"/>
          </w:tcPr>
          <w:p>
            <w:pPr>
              <w:spacing w:before="0" w:line="257" w:lineRule="auto"/>
              <w:ind w:left="0" w:right="0" w:firstLine="0"/>
              <w:jc w:val="center"/>
              <w:rPr>
                <w:rFonts w:hint="eastAsia" w:ascii="微软雅黑" w:hAnsi="微软雅黑" w:eastAsia="微软雅黑" w:cs="微软雅黑"/>
                <w:spacing w:val="0"/>
                <w:sz w:val="22"/>
                <w:szCs w:val="22"/>
                <w:lang w:eastAsia="zh-CN"/>
              </w:rPr>
            </w:pPr>
          </w:p>
          <w:p>
            <w:pPr>
              <w:spacing w:before="0" w:line="257" w:lineRule="auto"/>
              <w:ind w:left="0" w:right="0" w:firstLine="0"/>
              <w:jc w:val="center"/>
              <w:rPr>
                <w:rFonts w:hint="eastAsia" w:ascii="微软雅黑" w:hAnsi="微软雅黑" w:eastAsia="微软雅黑" w:cs="微软雅黑"/>
                <w:spacing w:val="0"/>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知识产权创造保护和运</w:t>
            </w:r>
            <w:r>
              <w:rPr>
                <w:rFonts w:hint="eastAsia" w:ascii="微软雅黑" w:hAnsi="微软雅黑" w:eastAsia="微软雅黑" w:cs="微软雅黑"/>
                <w:sz w:val="22"/>
                <w:szCs w:val="22"/>
                <w:lang w:eastAsia="zh-CN"/>
              </w:rPr>
              <w:t>用</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建立海外知识产权纠纷应对指导机制</w:t>
            </w:r>
          </w:p>
        </w:tc>
        <w:tc>
          <w:tcPr>
            <w:tcW w:w="3262" w:type="dxa"/>
            <w:vAlign w:val="top"/>
          </w:tcPr>
          <w:p>
            <w:pPr>
              <w:spacing w:before="0" w:line="257" w:lineRule="auto"/>
              <w:ind w:left="0" w:right="0" w:firstLine="0"/>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lang w:eastAsia="zh-CN"/>
              </w:rPr>
              <w:t>配合</w:t>
            </w:r>
            <w:r>
              <w:rPr>
                <w:rFonts w:hint="eastAsia" w:ascii="微软雅黑" w:hAnsi="微软雅黑" w:eastAsia="微软雅黑" w:cs="微软雅黑"/>
                <w:spacing w:val="0"/>
                <w:sz w:val="22"/>
                <w:szCs w:val="22"/>
              </w:rPr>
              <w:t>落实案件分级指导制度；健全海外知识产权风险防控体系，建设自治区海外知识产权风险防控分中心和工作站，推动海外知识产权观察企业工作。</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pacing w:val="0"/>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区市场监管局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br w:type="textWrapping"/>
            </w:r>
            <w:r>
              <w:rPr>
                <w:rFonts w:hint="eastAsia" w:ascii="微软雅黑" w:hAnsi="微软雅黑" w:eastAsia="微软雅黑" w:cs="微软雅黑"/>
                <w:spacing w:val="0"/>
                <w:sz w:val="22"/>
                <w:szCs w:val="22"/>
                <w:lang w:eastAsia="zh-CN"/>
              </w:rPr>
              <w:t>区商务局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val="en-US" w:eastAsia="zh-CN"/>
              </w:rPr>
              <w:t>60</w:t>
            </w:r>
          </w:p>
        </w:tc>
        <w:tc>
          <w:tcPr>
            <w:tcW w:w="875" w:type="dxa"/>
            <w:vAlign w:val="top"/>
          </w:tcPr>
          <w:p>
            <w:pPr>
              <w:spacing w:before="0" w:line="257" w:lineRule="auto"/>
              <w:ind w:left="0" w:right="0" w:firstLine="0"/>
              <w:jc w:val="center"/>
              <w:rPr>
                <w:rFonts w:hint="eastAsia" w:ascii="微软雅黑" w:hAnsi="微软雅黑" w:eastAsia="微软雅黑" w:cs="微软雅黑"/>
                <w:spacing w:val="0"/>
                <w:sz w:val="22"/>
                <w:szCs w:val="22"/>
                <w:lang w:eastAsia="zh-CN"/>
              </w:rPr>
            </w:pPr>
          </w:p>
          <w:p>
            <w:pPr>
              <w:spacing w:before="0" w:line="257" w:lineRule="auto"/>
              <w:ind w:left="0" w:right="0" w:firstLine="0"/>
              <w:jc w:val="center"/>
              <w:rPr>
                <w:rFonts w:hint="eastAsia" w:ascii="微软雅黑" w:hAnsi="微软雅黑" w:eastAsia="微软雅黑" w:cs="微软雅黑"/>
                <w:spacing w:val="0"/>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知识产权创造保护和运</w:t>
            </w:r>
            <w:r>
              <w:rPr>
                <w:rFonts w:hint="eastAsia" w:ascii="微软雅黑" w:hAnsi="微软雅黑" w:eastAsia="微软雅黑" w:cs="微软雅黑"/>
                <w:sz w:val="22"/>
                <w:szCs w:val="22"/>
                <w:lang w:eastAsia="zh-CN"/>
              </w:rPr>
              <w:t>用</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pacing w:val="0"/>
                <w:sz w:val="22"/>
                <w:szCs w:val="22"/>
                <w:lang w:eastAsia="zh-CN"/>
              </w:rPr>
            </w:pPr>
          </w:p>
          <w:p>
            <w:pPr>
              <w:spacing w:before="0" w:line="257" w:lineRule="auto"/>
              <w:ind w:left="0" w:right="0" w:firstLine="0"/>
              <w:jc w:val="center"/>
              <w:rPr>
                <w:rFonts w:hint="eastAsia" w:ascii="微软雅黑" w:hAnsi="微软雅黑" w:eastAsia="微软雅黑" w:cs="微软雅黑"/>
                <w:spacing w:val="0"/>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强化知识产权代理机构监管</w:t>
            </w:r>
          </w:p>
        </w:tc>
        <w:tc>
          <w:tcPr>
            <w:tcW w:w="3262" w:type="dxa"/>
            <w:vAlign w:val="top"/>
          </w:tcPr>
          <w:p>
            <w:pPr>
              <w:spacing w:before="0" w:line="257" w:lineRule="auto"/>
              <w:ind w:left="0" w:right="0" w:firstLine="0"/>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lang w:eastAsia="zh-CN"/>
              </w:rPr>
              <w:t>配合柳州市</w:t>
            </w:r>
            <w:r>
              <w:rPr>
                <w:rFonts w:hint="eastAsia" w:ascii="微软雅黑" w:hAnsi="微软雅黑" w:eastAsia="微软雅黑" w:cs="微软雅黑"/>
                <w:spacing w:val="0"/>
                <w:sz w:val="22"/>
                <w:szCs w:val="22"/>
              </w:rPr>
              <w:t>开展专利代理“双随机一公开”联合监管，完成年度</w:t>
            </w:r>
            <w:r>
              <w:rPr>
                <w:rFonts w:hint="eastAsia" w:ascii="微软雅黑" w:hAnsi="微软雅黑" w:eastAsia="微软雅黑" w:cs="微软雅黑"/>
                <w:spacing w:val="0"/>
                <w:sz w:val="22"/>
                <w:szCs w:val="22"/>
                <w:lang w:eastAsia="zh-CN"/>
              </w:rPr>
              <w:t>柳州市</w:t>
            </w:r>
            <w:r>
              <w:rPr>
                <w:rFonts w:hint="eastAsia" w:ascii="微软雅黑" w:hAnsi="微软雅黑" w:eastAsia="微软雅黑" w:cs="微软雅黑"/>
                <w:spacing w:val="0"/>
                <w:sz w:val="22"/>
                <w:szCs w:val="22"/>
              </w:rPr>
              <w:t>分配抽查专利代理机构数量任务。落实专利代理违法行为监管联动机制，及时查办专利代理违法线索，加强对商标恶意注册的执法和对非正常专利申请的处理。</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pacing w:val="0"/>
                <w:sz w:val="22"/>
                <w:szCs w:val="22"/>
                <w:lang w:eastAsia="zh-CN"/>
              </w:rPr>
            </w:pPr>
          </w:p>
          <w:p>
            <w:pPr>
              <w:spacing w:before="0" w:line="257" w:lineRule="auto"/>
              <w:ind w:left="0" w:right="0" w:firstLine="0"/>
              <w:jc w:val="both"/>
              <w:rPr>
                <w:rFonts w:hint="eastAsia" w:ascii="微软雅黑" w:hAnsi="微软雅黑" w:eastAsia="微软雅黑" w:cs="微软雅黑"/>
                <w:spacing w:val="0"/>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jc w:val="both"/>
              <w:rPr>
                <w:rFonts w:hint="eastAsia" w:ascii="微软雅黑" w:hAnsi="微软雅黑" w:eastAsia="微软雅黑" w:cs="微软雅黑"/>
                <w:spacing w:val="0"/>
                <w:sz w:val="22"/>
                <w:szCs w:val="22"/>
                <w:lang w:eastAsia="zh-CN"/>
              </w:rPr>
            </w:pPr>
          </w:p>
          <w:p>
            <w:pPr>
              <w:spacing w:before="0" w:line="257" w:lineRule="auto"/>
              <w:ind w:lef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区市场监管局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both"/>
              <w:rPr>
                <w:rFonts w:hint="eastAsia" w:ascii="微软雅黑" w:hAnsi="微软雅黑" w:eastAsia="微软雅黑" w:cs="微软雅黑"/>
                <w:spacing w:val="0"/>
                <w:sz w:val="22"/>
                <w:szCs w:val="22"/>
                <w:lang w:eastAsia="zh-CN"/>
              </w:rPr>
            </w:pPr>
          </w:p>
          <w:p>
            <w:pPr>
              <w:spacing w:before="0" w:line="257" w:lineRule="auto"/>
              <w:ind w:left="0" w:right="0" w:firstLine="0"/>
              <w:jc w:val="center"/>
              <w:rPr>
                <w:rFonts w:hint="eastAsia" w:ascii="微软雅黑" w:hAnsi="微软雅黑" w:eastAsia="微软雅黑" w:cs="微软雅黑"/>
                <w:spacing w:val="0"/>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各有关单位</w:t>
            </w:r>
          </w:p>
        </w:tc>
      </w:tr>
    </w:tbl>
    <w:p>
      <w:pPr>
        <w:spacing w:line="257" w:lineRule="auto"/>
        <w:rPr>
          <w:rFonts w:hint="eastAsia" w:ascii="微软雅黑" w:hAnsi="微软雅黑" w:eastAsia="微软雅黑" w:cs="微软雅黑"/>
          <w:sz w:val="22"/>
          <w:szCs w:val="22"/>
        </w:rPr>
        <w:sectPr>
          <w:footerReference r:id="rId25" w:type="default"/>
          <w:pgSz w:w="16838" w:h="11906"/>
          <w:pgMar w:top="400" w:right="2203" w:bottom="1514" w:left="2104"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4"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val="en-US" w:eastAsia="zh-CN"/>
              </w:rPr>
              <w:t>61</w:t>
            </w:r>
          </w:p>
        </w:tc>
        <w:tc>
          <w:tcPr>
            <w:tcW w:w="875" w:type="dxa"/>
            <w:vAlign w:val="top"/>
          </w:tcPr>
          <w:p>
            <w:pPr>
              <w:spacing w:before="0" w:line="257" w:lineRule="auto"/>
              <w:ind w:left="0" w:right="0" w:firstLine="0"/>
              <w:jc w:val="center"/>
              <w:rPr>
                <w:rFonts w:hint="eastAsia" w:ascii="微软雅黑" w:hAnsi="微软雅黑" w:eastAsia="微软雅黑" w:cs="微软雅黑"/>
                <w:spacing w:val="0"/>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知识产权创造保护和运</w:t>
            </w:r>
            <w:r>
              <w:rPr>
                <w:rFonts w:hint="eastAsia" w:ascii="微软雅黑" w:hAnsi="微软雅黑" w:eastAsia="微软雅黑" w:cs="微软雅黑"/>
                <w:sz w:val="22"/>
                <w:szCs w:val="22"/>
                <w:lang w:eastAsia="zh-CN"/>
              </w:rPr>
              <w:t>用</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建设知识产权保护社会治理网</w:t>
            </w:r>
          </w:p>
        </w:tc>
        <w:tc>
          <w:tcPr>
            <w:tcW w:w="3262" w:type="dxa"/>
            <w:vAlign w:val="top"/>
          </w:tcPr>
          <w:p>
            <w:pPr>
              <w:spacing w:before="0" w:line="257" w:lineRule="auto"/>
              <w:ind w:left="0" w:right="0" w:firstLine="0"/>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充分发挥知识产权维权援助工作作用，为企业提供公益服务。开展知识产权维权援助工作站运行情况评估，提升企业知识产权保护水平。</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区市场监管局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3"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val="en-US" w:eastAsia="zh-CN"/>
              </w:rPr>
              <w:t>62</w:t>
            </w:r>
          </w:p>
        </w:tc>
        <w:tc>
          <w:tcPr>
            <w:tcW w:w="875" w:type="dxa"/>
            <w:vAlign w:val="top"/>
          </w:tcPr>
          <w:p>
            <w:pPr>
              <w:spacing w:before="0" w:line="257" w:lineRule="auto"/>
              <w:ind w:left="0" w:right="0" w:firstLine="0"/>
              <w:jc w:val="center"/>
              <w:rPr>
                <w:rFonts w:hint="eastAsia" w:ascii="微软雅黑" w:hAnsi="微软雅黑" w:eastAsia="微软雅黑" w:cs="微软雅黑"/>
                <w:spacing w:val="0"/>
                <w:sz w:val="22"/>
                <w:szCs w:val="22"/>
                <w:lang w:eastAsia="zh-CN"/>
              </w:rPr>
            </w:pPr>
          </w:p>
          <w:p>
            <w:pPr>
              <w:spacing w:before="0" w:line="257" w:lineRule="auto"/>
              <w:ind w:left="0" w:right="0" w:firstLine="0"/>
              <w:jc w:val="center"/>
              <w:rPr>
                <w:rFonts w:hint="eastAsia" w:ascii="微软雅黑" w:hAnsi="微软雅黑" w:eastAsia="微软雅黑" w:cs="微软雅黑"/>
                <w:spacing w:val="0"/>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知识产权创造保护和运</w:t>
            </w:r>
            <w:r>
              <w:rPr>
                <w:rFonts w:hint="eastAsia" w:ascii="微软雅黑" w:hAnsi="微软雅黑" w:eastAsia="微软雅黑" w:cs="微软雅黑"/>
                <w:sz w:val="22"/>
                <w:szCs w:val="22"/>
                <w:lang w:eastAsia="zh-CN"/>
              </w:rPr>
              <w:t>用</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提高知识产权保护直通车服务覆盖率</w:t>
            </w:r>
          </w:p>
        </w:tc>
        <w:tc>
          <w:tcPr>
            <w:tcW w:w="3262" w:type="dxa"/>
            <w:vAlign w:val="top"/>
          </w:tcPr>
          <w:p>
            <w:pPr>
              <w:spacing w:before="0" w:line="257" w:lineRule="auto"/>
              <w:ind w:left="0" w:right="0" w:firstLine="0"/>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2023年全市知识产权保护直通车入库重点企业增长10%。知识产权保护直通车企业库内重点企业服务覆盖率90%（含）以上。按照</w:t>
            </w:r>
            <w:r>
              <w:rPr>
                <w:rFonts w:hint="eastAsia" w:ascii="微软雅黑" w:hAnsi="微软雅黑" w:eastAsia="微软雅黑" w:cs="微软雅黑"/>
                <w:spacing w:val="0"/>
                <w:sz w:val="22"/>
                <w:szCs w:val="22"/>
                <w:lang w:eastAsia="zh-CN"/>
              </w:rPr>
              <w:t>柳州市</w:t>
            </w:r>
            <w:r>
              <w:rPr>
                <w:rFonts w:hint="eastAsia" w:ascii="微软雅黑" w:hAnsi="微软雅黑" w:eastAsia="微软雅黑" w:cs="微软雅黑"/>
                <w:spacing w:val="0"/>
                <w:sz w:val="22"/>
                <w:szCs w:val="22"/>
              </w:rPr>
              <w:t>工作部署要求，完善知识产权公共服务体系，为企业提供知识产权公共服务。</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区市场监管局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7"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val="en-US" w:eastAsia="zh-CN"/>
              </w:rPr>
              <w:t>63</w:t>
            </w:r>
          </w:p>
        </w:tc>
        <w:tc>
          <w:tcPr>
            <w:tcW w:w="875" w:type="dxa"/>
            <w:vAlign w:val="top"/>
          </w:tcPr>
          <w:p>
            <w:pPr>
              <w:spacing w:before="0" w:line="257" w:lineRule="auto"/>
              <w:ind w:left="0" w:right="0" w:firstLine="0"/>
              <w:jc w:val="center"/>
              <w:rPr>
                <w:rFonts w:hint="eastAsia" w:ascii="微软雅黑" w:hAnsi="微软雅黑" w:eastAsia="微软雅黑" w:cs="微软雅黑"/>
                <w:spacing w:val="0"/>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知识产权创造保护和运</w:t>
            </w:r>
            <w:r>
              <w:rPr>
                <w:rFonts w:hint="eastAsia" w:ascii="微软雅黑" w:hAnsi="微软雅黑" w:eastAsia="微软雅黑" w:cs="微软雅黑"/>
                <w:sz w:val="22"/>
                <w:szCs w:val="22"/>
                <w:lang w:eastAsia="zh-CN"/>
              </w:rPr>
              <w:t>用</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推动专利技术转移转化</w:t>
            </w:r>
          </w:p>
        </w:tc>
        <w:tc>
          <w:tcPr>
            <w:tcW w:w="3262" w:type="dxa"/>
            <w:vAlign w:val="top"/>
          </w:tcPr>
          <w:p>
            <w:pPr>
              <w:spacing w:before="0" w:line="257" w:lineRule="auto"/>
              <w:ind w:left="0" w:right="0"/>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落实广西专利转化专项计划，配合完成</w:t>
            </w:r>
            <w:r>
              <w:rPr>
                <w:rFonts w:hint="eastAsia" w:ascii="微软雅黑" w:hAnsi="微软雅黑" w:eastAsia="微软雅黑" w:cs="微软雅黑"/>
                <w:spacing w:val="0"/>
                <w:sz w:val="22"/>
                <w:szCs w:val="22"/>
                <w:lang w:eastAsia="zh-CN"/>
              </w:rPr>
              <w:t>柳州市</w:t>
            </w:r>
            <w:r>
              <w:rPr>
                <w:rFonts w:hint="eastAsia" w:ascii="微软雅黑" w:hAnsi="微软雅黑" w:eastAsia="微软雅黑" w:cs="微软雅黑"/>
                <w:spacing w:val="0"/>
                <w:sz w:val="22"/>
                <w:szCs w:val="22"/>
              </w:rPr>
              <w:t>中小微企业</w:t>
            </w:r>
            <w:r>
              <w:rPr>
                <w:rFonts w:hint="eastAsia" w:ascii="微软雅黑" w:hAnsi="微软雅黑" w:eastAsia="微软雅黑" w:cs="微软雅黑"/>
                <w:spacing w:val="0"/>
                <w:sz w:val="22"/>
                <w:szCs w:val="22"/>
                <w:lang w:eastAsia="zh-CN"/>
              </w:rPr>
              <w:t>目标任务，</w:t>
            </w:r>
            <w:r>
              <w:rPr>
                <w:rFonts w:hint="eastAsia" w:ascii="微软雅黑" w:hAnsi="微软雅黑" w:eastAsia="微软雅黑" w:cs="微软雅黑"/>
                <w:spacing w:val="0"/>
                <w:sz w:val="22"/>
                <w:szCs w:val="22"/>
              </w:rPr>
              <w:t>接受高校院所专利转让、许可，推动专利技术转移转化。</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区财政局、市场监管</w:t>
            </w:r>
            <w:r>
              <w:rPr>
                <w:rFonts w:hint="eastAsia" w:ascii="微软雅黑" w:hAnsi="微软雅黑" w:eastAsia="微软雅黑" w:cs="微软雅黑"/>
                <w:sz w:val="22"/>
                <w:szCs w:val="22"/>
                <w:lang w:eastAsia="zh-CN"/>
              </w:rPr>
              <w:t>局按职责分工负责</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before="0" w:line="257" w:lineRule="auto"/>
              <w:ind w:left="0" w:right="0" w:firstLine="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eastAsia="zh-CN"/>
              </w:rPr>
              <w:t>区教育局、科技</w:t>
            </w:r>
            <w:r>
              <w:rPr>
                <w:rFonts w:hint="eastAsia" w:ascii="微软雅黑" w:hAnsi="微软雅黑" w:eastAsia="微软雅黑" w:cs="微软雅黑"/>
                <w:spacing w:val="0"/>
                <w:sz w:val="22"/>
                <w:szCs w:val="22"/>
                <w:lang w:eastAsia="zh-CN"/>
              </w:rPr>
              <w:t>局、工信局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7"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val="en-US" w:eastAsia="zh-CN"/>
              </w:rPr>
            </w:pPr>
            <w:r>
              <w:rPr>
                <w:rFonts w:hint="eastAsia" w:ascii="微软雅黑" w:hAnsi="微软雅黑" w:eastAsia="微软雅黑" w:cs="微软雅黑"/>
                <w:spacing w:val="0"/>
                <w:sz w:val="22"/>
                <w:szCs w:val="22"/>
                <w:lang w:val="en-US" w:eastAsia="zh-CN"/>
              </w:rPr>
              <w:t>64</w:t>
            </w:r>
          </w:p>
        </w:tc>
        <w:tc>
          <w:tcPr>
            <w:tcW w:w="875"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对外开放</w:t>
            </w:r>
          </w:p>
        </w:tc>
        <w:tc>
          <w:tcPr>
            <w:tcW w:w="1828"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增强外贸企业实</w:t>
            </w:r>
            <w:r>
              <w:rPr>
                <w:rFonts w:hint="eastAsia" w:ascii="微软雅黑" w:hAnsi="微软雅黑" w:eastAsia="微软雅黑" w:cs="微软雅黑"/>
                <w:sz w:val="22"/>
                <w:szCs w:val="22"/>
                <w:lang w:eastAsia="zh-CN"/>
              </w:rPr>
              <w:t>力</w:t>
            </w:r>
          </w:p>
        </w:tc>
        <w:tc>
          <w:tcPr>
            <w:tcW w:w="3262" w:type="dxa"/>
            <w:vAlign w:val="top"/>
          </w:tcPr>
          <w:p>
            <w:pPr>
              <w:pStyle w:val="2"/>
              <w:rPr>
                <w:rFonts w:hint="eastAsia"/>
              </w:rPr>
            </w:pPr>
          </w:p>
          <w:p>
            <w:pPr>
              <w:spacing w:line="257" w:lineRule="auto"/>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加快新兴市场开拓，巩固传统市场</w:t>
            </w:r>
            <w:r>
              <w:rPr>
                <w:rFonts w:hint="eastAsia" w:ascii="微软雅黑" w:hAnsi="微软雅黑" w:eastAsia="微软雅黑" w:cs="微软雅黑"/>
                <w:spacing w:val="0"/>
                <w:sz w:val="22"/>
                <w:szCs w:val="22"/>
                <w:lang w:eastAsia="zh-CN"/>
              </w:rPr>
              <w:t>。</w:t>
            </w:r>
          </w:p>
        </w:tc>
        <w:tc>
          <w:tcPr>
            <w:tcW w:w="1732"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区商务局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tc>
      </w:tr>
    </w:tbl>
    <w:p>
      <w:pPr>
        <w:spacing w:line="257" w:lineRule="auto"/>
        <w:rPr>
          <w:rFonts w:hint="eastAsia" w:ascii="微软雅黑" w:hAnsi="微软雅黑" w:eastAsia="微软雅黑" w:cs="微软雅黑"/>
          <w:sz w:val="22"/>
          <w:szCs w:val="22"/>
        </w:rPr>
        <w:sectPr>
          <w:footerReference r:id="rId26" w:type="default"/>
          <w:pgSz w:w="16838" w:h="11906"/>
          <w:pgMar w:top="400" w:right="2104" w:bottom="1514" w:left="2203" w:header="0" w:footer="1284"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4" w:hRule="atLeast"/>
        </w:trPr>
        <w:tc>
          <w:tcPr>
            <w:tcW w:w="715" w:type="dxa"/>
            <w:vAlign w:val="top"/>
          </w:tcPr>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val="en-US" w:eastAsia="zh-CN"/>
              </w:rPr>
              <w:t>65</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对外开放</w:t>
            </w:r>
          </w:p>
        </w:tc>
        <w:tc>
          <w:tcPr>
            <w:tcW w:w="1828" w:type="dxa"/>
            <w:vAlign w:val="top"/>
          </w:tcPr>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实际利用外资</w:t>
            </w:r>
          </w:p>
        </w:tc>
        <w:tc>
          <w:tcPr>
            <w:tcW w:w="3262" w:type="dxa"/>
            <w:vAlign w:val="top"/>
          </w:tcPr>
          <w:p>
            <w:pPr>
              <w:spacing w:line="257" w:lineRule="auto"/>
              <w:rPr>
                <w:rFonts w:hint="eastAsia" w:ascii="微软雅黑" w:hAnsi="微软雅黑" w:eastAsia="微软雅黑" w:cs="微软雅黑"/>
                <w:sz w:val="22"/>
                <w:szCs w:val="22"/>
              </w:rPr>
            </w:pPr>
          </w:p>
          <w:p>
            <w:pPr>
              <w:spacing w:line="257" w:lineRule="auto"/>
              <w:jc w:val="left"/>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完成上级部门下达的</w:t>
            </w:r>
            <w:r>
              <w:rPr>
                <w:rFonts w:hint="eastAsia" w:ascii="微软雅黑" w:hAnsi="微软雅黑" w:eastAsia="微软雅黑" w:cs="微软雅黑"/>
                <w:spacing w:val="0"/>
                <w:sz w:val="22"/>
                <w:szCs w:val="22"/>
              </w:rPr>
              <w:t>全</w:t>
            </w:r>
            <w:r>
              <w:rPr>
                <w:rFonts w:hint="eastAsia" w:ascii="微软雅黑" w:hAnsi="微软雅黑" w:eastAsia="微软雅黑" w:cs="微软雅黑"/>
                <w:spacing w:val="0"/>
                <w:sz w:val="22"/>
                <w:szCs w:val="22"/>
                <w:lang w:eastAsia="zh-CN"/>
              </w:rPr>
              <w:t>区</w:t>
            </w:r>
            <w:r>
              <w:rPr>
                <w:rFonts w:hint="eastAsia" w:ascii="微软雅黑" w:hAnsi="微软雅黑" w:eastAsia="微软雅黑" w:cs="微软雅黑"/>
                <w:spacing w:val="0"/>
                <w:sz w:val="22"/>
                <w:szCs w:val="22"/>
              </w:rPr>
              <w:t>实际利用外资</w:t>
            </w:r>
            <w:r>
              <w:rPr>
                <w:rFonts w:hint="eastAsia" w:ascii="微软雅黑" w:hAnsi="微软雅黑" w:eastAsia="微软雅黑" w:cs="微软雅黑"/>
                <w:spacing w:val="0"/>
                <w:sz w:val="22"/>
                <w:szCs w:val="22"/>
                <w:lang w:eastAsia="zh-CN"/>
              </w:rPr>
              <w:t>资金任务</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区商务局</w:t>
            </w:r>
          </w:p>
        </w:tc>
        <w:tc>
          <w:tcPr>
            <w:tcW w:w="1927"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区科技局、工信局、资促</w:t>
            </w:r>
            <w:r>
              <w:rPr>
                <w:rFonts w:hint="eastAsia" w:ascii="微软雅黑" w:hAnsi="微软雅黑" w:eastAsia="微软雅黑" w:cs="微软雅黑"/>
                <w:sz w:val="22"/>
                <w:szCs w:val="22"/>
                <w:lang w:eastAsia="zh-CN"/>
              </w:rPr>
              <w:t>局，各有关单位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6" w:hRule="atLeast"/>
        </w:trPr>
        <w:tc>
          <w:tcPr>
            <w:tcW w:w="715" w:type="dxa"/>
            <w:vAlign w:val="top"/>
          </w:tcPr>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val="en-US" w:eastAsia="zh-CN"/>
              </w:rPr>
              <w:t>66</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对外开放</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企业“走出去”综合服务</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加强对企业指导服务，不断提升“走出去”综合服务水平，支持柳州优势企业“走出去”，布局海外市场。</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区商务局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区发改局、工信局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4"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val="en-US" w:eastAsia="zh-CN"/>
              </w:rPr>
              <w:t>67</w:t>
            </w:r>
          </w:p>
        </w:tc>
        <w:tc>
          <w:tcPr>
            <w:tcW w:w="875"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对外开放</w:t>
            </w:r>
          </w:p>
        </w:tc>
        <w:tc>
          <w:tcPr>
            <w:tcW w:w="1828"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维护产业链、供应链稳定</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引导支持下游加工型企业与上游原材料供应商进行供需衔接，建立长期稳定的供需合作关系。</w:t>
            </w:r>
          </w:p>
        </w:tc>
        <w:tc>
          <w:tcPr>
            <w:tcW w:w="1732"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区工信局、园区管委会</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4"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val="en-US" w:eastAsia="zh-CN"/>
              </w:rPr>
            </w:pPr>
            <w:r>
              <w:rPr>
                <w:rFonts w:hint="eastAsia" w:ascii="微软雅黑" w:hAnsi="微软雅黑" w:eastAsia="微软雅黑" w:cs="微软雅黑"/>
                <w:spacing w:val="0"/>
                <w:sz w:val="22"/>
                <w:szCs w:val="22"/>
                <w:lang w:val="en-US" w:eastAsia="zh-CN"/>
              </w:rPr>
              <w:t>68</w:t>
            </w:r>
          </w:p>
        </w:tc>
        <w:tc>
          <w:tcPr>
            <w:tcW w:w="875"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对外开放</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探索涉外“一件事”集成服务</w:t>
            </w:r>
          </w:p>
        </w:tc>
        <w:tc>
          <w:tcPr>
            <w:tcW w:w="3262" w:type="dxa"/>
            <w:vAlign w:val="top"/>
          </w:tcPr>
          <w:p>
            <w:pPr>
              <w:spacing w:line="257" w:lineRule="auto"/>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配合</w:t>
            </w:r>
            <w:r>
              <w:rPr>
                <w:rFonts w:hint="eastAsia" w:ascii="微软雅黑" w:hAnsi="微软雅黑" w:eastAsia="微软雅黑" w:cs="微软雅黑"/>
                <w:spacing w:val="0"/>
                <w:sz w:val="22"/>
                <w:szCs w:val="22"/>
                <w:lang w:eastAsia="zh-CN"/>
              </w:rPr>
              <w:t>柳州市</w:t>
            </w:r>
            <w:r>
              <w:rPr>
                <w:rFonts w:hint="eastAsia" w:ascii="微软雅黑" w:hAnsi="微软雅黑" w:eastAsia="微软雅黑" w:cs="微软雅黑"/>
                <w:spacing w:val="0"/>
                <w:sz w:val="22"/>
                <w:szCs w:val="22"/>
              </w:rPr>
              <w:t>在跨境投融资、跨境产业合作、沿边开放合作等领域探索涉外“一件事”集成服务。</w:t>
            </w:r>
          </w:p>
        </w:tc>
        <w:tc>
          <w:tcPr>
            <w:tcW w:w="1732"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区商务局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区工信局、投促局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4"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val="en-US" w:eastAsia="zh-CN"/>
              </w:rPr>
            </w:pPr>
            <w:r>
              <w:rPr>
                <w:rFonts w:hint="eastAsia" w:ascii="微软雅黑" w:hAnsi="微软雅黑" w:eastAsia="微软雅黑" w:cs="微软雅黑"/>
                <w:spacing w:val="0"/>
                <w:sz w:val="22"/>
                <w:szCs w:val="22"/>
                <w:lang w:val="en-US" w:eastAsia="zh-CN"/>
              </w:rPr>
              <w:t>69</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纳税</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压缩出口退税办理时间</w:t>
            </w:r>
          </w:p>
        </w:tc>
        <w:tc>
          <w:tcPr>
            <w:tcW w:w="3262" w:type="dxa"/>
            <w:vAlign w:val="top"/>
          </w:tcPr>
          <w:p>
            <w:pPr>
              <w:spacing w:line="257" w:lineRule="auto"/>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落实出口退税智能化办税，实行申报无纸化、备案单证电子化和实地核查“容缺办理”，配合</w:t>
            </w:r>
            <w:r>
              <w:rPr>
                <w:rFonts w:hint="eastAsia" w:ascii="微软雅黑" w:hAnsi="微软雅黑" w:eastAsia="微软雅黑" w:cs="微软雅黑"/>
                <w:spacing w:val="0"/>
                <w:sz w:val="22"/>
                <w:szCs w:val="22"/>
                <w:lang w:eastAsia="zh-CN"/>
              </w:rPr>
              <w:t>柳州市</w:t>
            </w:r>
            <w:r>
              <w:rPr>
                <w:rFonts w:hint="eastAsia" w:ascii="微软雅黑" w:hAnsi="微软雅黑" w:eastAsia="微软雅黑" w:cs="微软雅黑"/>
                <w:spacing w:val="0"/>
                <w:sz w:val="22"/>
                <w:szCs w:val="22"/>
              </w:rPr>
              <w:t>研发退税业务流程和税收函调业务流转可视化功能，以风险可控为前提，进一步压缩出口退税办理时长。全区一、二类出口</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2023年6月30</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柳北税务局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tc>
      </w:tr>
    </w:tbl>
    <w:p>
      <w:pPr>
        <w:spacing w:line="257" w:lineRule="auto"/>
        <w:rPr>
          <w:rFonts w:hint="eastAsia" w:ascii="微软雅黑" w:hAnsi="微软雅黑" w:eastAsia="微软雅黑" w:cs="微软雅黑"/>
          <w:sz w:val="22"/>
          <w:szCs w:val="22"/>
        </w:rPr>
        <w:sectPr>
          <w:footerReference r:id="rId27" w:type="default"/>
          <w:pgSz w:w="16838" w:h="11906"/>
          <w:pgMar w:top="400" w:right="2203" w:bottom="1514" w:left="2104"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p>
      <w:pPr>
        <w:spacing w:before="0" w:line="257" w:lineRule="auto"/>
        <w:rPr>
          <w:rFonts w:hint="eastAsia" w:ascii="微软雅黑" w:hAnsi="微软雅黑" w:eastAsia="微软雅黑" w:cs="微软雅黑"/>
          <w:sz w:val="22"/>
          <w:szCs w:val="22"/>
        </w:rPr>
      </w:pPr>
    </w:p>
    <w:tbl>
      <w:tblPr>
        <w:tblStyle w:val="8"/>
        <w:tblW w:w="12426"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tc>
        <w:tc>
          <w:tcPr>
            <w:tcW w:w="875" w:type="dxa"/>
            <w:vAlign w:val="top"/>
          </w:tcPr>
          <w:p>
            <w:pPr>
              <w:spacing w:line="257" w:lineRule="auto"/>
              <w:jc w:val="center"/>
              <w:rPr>
                <w:rFonts w:hint="eastAsia" w:ascii="微软雅黑" w:hAnsi="微软雅黑" w:eastAsia="微软雅黑" w:cs="微软雅黑"/>
                <w:sz w:val="22"/>
                <w:szCs w:val="22"/>
                <w:lang w:eastAsia="zh-CN"/>
              </w:rPr>
            </w:pPr>
          </w:p>
        </w:tc>
        <w:tc>
          <w:tcPr>
            <w:tcW w:w="1828" w:type="dxa"/>
            <w:vAlign w:val="top"/>
          </w:tcPr>
          <w:p>
            <w:pPr>
              <w:spacing w:line="257" w:lineRule="auto"/>
              <w:jc w:val="center"/>
              <w:rPr>
                <w:rFonts w:hint="eastAsia" w:ascii="微软雅黑" w:hAnsi="微软雅黑" w:eastAsia="微软雅黑" w:cs="微软雅黑"/>
                <w:sz w:val="22"/>
                <w:szCs w:val="22"/>
                <w:lang w:eastAsia="zh-CN"/>
              </w:rPr>
            </w:pP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企业正常出口退税平均办理时间不超过3个工作日。二类出口企业退税3个工作日内办结。</w:t>
            </w:r>
          </w:p>
        </w:tc>
        <w:tc>
          <w:tcPr>
            <w:tcW w:w="1732" w:type="dxa"/>
            <w:vAlign w:val="top"/>
          </w:tcPr>
          <w:p>
            <w:pPr>
              <w:spacing w:line="257" w:lineRule="auto"/>
              <w:rPr>
                <w:rFonts w:hint="eastAsia" w:ascii="微软雅黑" w:hAnsi="微软雅黑" w:eastAsia="微软雅黑" w:cs="微软雅黑"/>
                <w:sz w:val="22"/>
                <w:szCs w:val="22"/>
              </w:rPr>
            </w:pPr>
          </w:p>
        </w:tc>
        <w:tc>
          <w:tcPr>
            <w:tcW w:w="2087" w:type="dxa"/>
            <w:vAlign w:val="top"/>
          </w:tcPr>
          <w:p>
            <w:pPr>
              <w:spacing w:line="257" w:lineRule="auto"/>
              <w:rPr>
                <w:rFonts w:hint="eastAsia" w:ascii="微软雅黑" w:hAnsi="微软雅黑" w:eastAsia="微软雅黑" w:cs="微软雅黑"/>
                <w:sz w:val="22"/>
                <w:szCs w:val="22"/>
              </w:rPr>
            </w:pPr>
          </w:p>
        </w:tc>
        <w:tc>
          <w:tcPr>
            <w:tcW w:w="1927" w:type="dxa"/>
            <w:vAlign w:val="top"/>
          </w:tcPr>
          <w:p>
            <w:pPr>
              <w:spacing w:line="257" w:lineRule="auto"/>
              <w:rPr>
                <w:rFonts w:hint="eastAsia" w:ascii="微软雅黑" w:hAnsi="微软雅黑" w:eastAsia="微软雅黑" w:cs="微软雅黑"/>
                <w:sz w:val="22"/>
                <w:szCs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5" w:hRule="atLeast"/>
        </w:trPr>
        <w:tc>
          <w:tcPr>
            <w:tcW w:w="715" w:type="dxa"/>
            <w:vAlign w:val="top"/>
          </w:tcPr>
          <w:p>
            <w:pPr>
              <w:spacing w:line="257" w:lineRule="auto"/>
              <w:ind w:firstLine="0" w:firstLineChars="0"/>
              <w:jc w:val="both"/>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val="en-US" w:eastAsia="zh-CN"/>
              </w:rPr>
              <w:t>70</w:t>
            </w:r>
          </w:p>
        </w:tc>
        <w:tc>
          <w:tcPr>
            <w:tcW w:w="875" w:type="dxa"/>
            <w:vAlign w:val="top"/>
          </w:tcPr>
          <w:p>
            <w:pPr>
              <w:spacing w:line="257" w:lineRule="auto"/>
              <w:jc w:val="both"/>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纳税</w:t>
            </w:r>
          </w:p>
        </w:tc>
        <w:tc>
          <w:tcPr>
            <w:tcW w:w="1828" w:type="dxa"/>
            <w:vAlign w:val="top"/>
          </w:tcPr>
          <w:p>
            <w:pPr>
              <w:spacing w:line="257" w:lineRule="auto"/>
              <w:jc w:val="both"/>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实现电子发票无纸化报销、入账、归档</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配合做好扩大电子发票电子化报销、入账、归档的应用范围。加强业务培训，广泛宣传解读电子发票电子化报销、入账、归档的规章制度和标准规范。</w:t>
            </w:r>
          </w:p>
        </w:tc>
        <w:tc>
          <w:tcPr>
            <w:tcW w:w="1732" w:type="dxa"/>
            <w:vAlign w:val="top"/>
          </w:tcPr>
          <w:p>
            <w:pPr>
              <w:pStyle w:val="2"/>
              <w:rPr>
                <w:rFonts w:hint="default"/>
                <w:lang w:eastAsia="zh-CN"/>
              </w:rPr>
            </w:pPr>
          </w:p>
          <w:p>
            <w:pPr>
              <w:pStyle w:val="3"/>
              <w:rPr>
                <w:rFonts w:hint="default"/>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区财政局、商务局、</w:t>
            </w:r>
            <w:r>
              <w:rPr>
                <w:rFonts w:hint="eastAsia" w:ascii="微软雅黑" w:hAnsi="微软雅黑" w:eastAsia="微软雅黑" w:cs="微软雅黑"/>
                <w:spacing w:val="0"/>
                <w:w w:val="100"/>
                <w:sz w:val="22"/>
                <w:szCs w:val="22"/>
                <w:lang w:eastAsia="zh-CN"/>
              </w:rPr>
              <w:t>档案局，柳北税务局</w:t>
            </w:r>
            <w:r>
              <w:rPr>
                <w:rFonts w:hint="eastAsia" w:ascii="微软雅黑" w:hAnsi="微软雅黑" w:eastAsia="微软雅黑" w:cs="微软雅黑"/>
                <w:spacing w:val="0"/>
                <w:sz w:val="22"/>
                <w:szCs w:val="22"/>
                <w:lang w:eastAsia="zh-CN"/>
              </w:rPr>
              <w:t>按职责分工负责</w:t>
            </w:r>
          </w:p>
        </w:tc>
        <w:tc>
          <w:tcPr>
            <w:tcW w:w="1927" w:type="dxa"/>
            <w:vAlign w:val="top"/>
          </w:tcPr>
          <w:p>
            <w:pPr>
              <w:pStyle w:val="2"/>
              <w:rPr>
                <w:rFonts w:hint="default"/>
                <w:lang w:eastAsia="zh-CN"/>
              </w:rPr>
            </w:pPr>
          </w:p>
          <w:p>
            <w:pPr>
              <w:pStyle w:val="3"/>
              <w:rPr>
                <w:rFonts w:hint="default"/>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5"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val="en-US" w:eastAsia="zh-CN"/>
              </w:rPr>
              <w:t>71</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纳税</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健全涉税（费）争议解决机制</w:t>
            </w:r>
          </w:p>
        </w:tc>
        <w:tc>
          <w:tcPr>
            <w:tcW w:w="3262" w:type="dxa"/>
            <w:vAlign w:val="top"/>
          </w:tcPr>
          <w:p>
            <w:pPr>
              <w:spacing w:line="257" w:lineRule="auto"/>
              <w:jc w:val="left"/>
              <w:rPr>
                <w:rFonts w:hint="eastAsia" w:ascii="微软雅黑" w:hAnsi="微软雅黑" w:eastAsia="微软雅黑" w:cs="微软雅黑"/>
                <w:spacing w:val="0"/>
                <w:sz w:val="22"/>
                <w:szCs w:val="22"/>
              </w:rPr>
            </w:pPr>
          </w:p>
          <w:p>
            <w:pPr>
              <w:spacing w:line="257" w:lineRule="auto"/>
              <w:jc w:val="left"/>
              <w:rPr>
                <w:rFonts w:hint="eastAsia" w:ascii="微软雅黑" w:hAnsi="微软雅黑" w:eastAsia="微软雅黑" w:cs="微软雅黑"/>
                <w:spacing w:val="0"/>
                <w:sz w:val="22"/>
                <w:szCs w:val="22"/>
              </w:rPr>
            </w:pPr>
          </w:p>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严格贯彻执行《广西壮族自治区税务行政处罚裁量基准》（国家税务总局广西壮族自治区税务局公告2023年第1号），收集有关执行意见建议。充分发挥税（费）争议咨询调解中心作用，拓宽争议解决渠道，切实化解争议，促进纳税遵从。</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柳北税务局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715" w:type="dxa"/>
            <w:vAlign w:val="top"/>
          </w:tcPr>
          <w:p>
            <w:pPr>
              <w:spacing w:before="104" w:line="242" w:lineRule="auto"/>
              <w:ind w:left="138" w:leftChars="0"/>
              <w:jc w:val="center"/>
              <w:rPr>
                <w:rFonts w:hint="eastAsia" w:ascii="微软雅黑" w:hAnsi="微软雅黑" w:eastAsia="微软雅黑" w:cs="微软雅黑"/>
                <w:spacing w:val="0"/>
                <w:sz w:val="22"/>
                <w:szCs w:val="22"/>
                <w:lang w:val="en-US" w:eastAsia="zh-CN"/>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leftChars="0"/>
              <w:jc w:val="center"/>
              <w:rPr>
                <w:rFonts w:hint="eastAsia" w:ascii="微软雅黑" w:hAnsi="微软雅黑" w:eastAsia="微软雅黑" w:cs="微软雅黑"/>
                <w:spacing w:val="0"/>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leftChars="0"/>
              <w:jc w:val="center"/>
              <w:rPr>
                <w:rFonts w:hint="eastAsia" w:ascii="微软雅黑" w:hAnsi="微软雅黑" w:eastAsia="微软雅黑" w:cs="微软雅黑"/>
                <w:spacing w:val="0"/>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leftChars="0"/>
              <w:jc w:val="center"/>
              <w:rPr>
                <w:rFonts w:hint="eastAsia" w:ascii="微软雅黑" w:hAnsi="微软雅黑" w:eastAsia="微软雅黑" w:cs="微软雅黑"/>
                <w:spacing w:val="0"/>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leftChars="0"/>
              <w:jc w:val="center"/>
              <w:rPr>
                <w:rFonts w:hint="eastAsia" w:ascii="微软雅黑" w:hAnsi="微软雅黑" w:eastAsia="微软雅黑" w:cs="微软雅黑"/>
                <w:spacing w:val="0"/>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left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leftChars="0"/>
              <w:jc w:val="center"/>
              <w:rPr>
                <w:rFonts w:hint="eastAsia" w:ascii="微软雅黑" w:hAnsi="微软雅黑" w:eastAsia="微软雅黑" w:cs="微软雅黑"/>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6"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val="en-US" w:eastAsia="zh-CN"/>
              </w:rPr>
              <w:t>72</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纳税</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推行“陪伴式”办税缴费服务</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依托征纳互动平台为有需求的</w:t>
            </w:r>
            <w:r>
              <w:rPr>
                <w:rFonts w:hint="eastAsia" w:ascii="微软雅黑" w:hAnsi="微软雅黑" w:eastAsia="微软雅黑" w:cs="微软雅黑"/>
                <w:sz w:val="22"/>
                <w:szCs w:val="22"/>
              </w:rPr>
              <w:t>纳税人提供线上“网联网”的“陪</w:t>
            </w:r>
            <w:r>
              <w:rPr>
                <w:rFonts w:hint="eastAsia" w:ascii="微软雅黑" w:hAnsi="微软雅黑" w:eastAsia="微软雅黑" w:cs="微软雅黑"/>
                <w:spacing w:val="0"/>
                <w:sz w:val="22"/>
                <w:szCs w:val="22"/>
              </w:rPr>
              <w:t>伴式”服务，实时在线辅导纳税人办税。完善办税服务厅“自助办税体验区”建设，积极引导纳税人自主办税，并为有需求的纳税人提供“肩并肩”的“陪伴式”服务。设置“办税辅导员”全程跟踪纳税人办税过程，收集并改进各</w:t>
            </w:r>
            <w:r>
              <w:rPr>
                <w:rFonts w:hint="eastAsia" w:ascii="微软雅黑" w:hAnsi="微软雅黑" w:eastAsia="微软雅黑" w:cs="微软雅黑"/>
                <w:sz w:val="22"/>
                <w:szCs w:val="22"/>
              </w:rPr>
              <w:t>类办税问题和诉求。</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柳北税务局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1"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val="en-US" w:eastAsia="zh-CN"/>
              </w:rPr>
            </w:pPr>
            <w:r>
              <w:rPr>
                <w:rFonts w:hint="eastAsia" w:ascii="微软雅黑" w:hAnsi="微软雅黑" w:eastAsia="微软雅黑" w:cs="微软雅黑"/>
                <w:spacing w:val="0"/>
                <w:sz w:val="22"/>
                <w:szCs w:val="22"/>
                <w:lang w:val="en-US" w:eastAsia="zh-CN"/>
              </w:rPr>
              <w:t>73</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纳税</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简化办税缴费流</w:t>
            </w:r>
            <w:r>
              <w:rPr>
                <w:rFonts w:hint="eastAsia" w:ascii="微软雅黑" w:hAnsi="微软雅黑" w:eastAsia="微软雅黑" w:cs="微软雅黑"/>
                <w:sz w:val="22"/>
                <w:szCs w:val="22"/>
                <w:lang w:eastAsia="zh-CN"/>
              </w:rPr>
              <w:t>程</w:t>
            </w:r>
          </w:p>
        </w:tc>
        <w:tc>
          <w:tcPr>
            <w:tcW w:w="3262" w:type="dxa"/>
            <w:vAlign w:val="top"/>
          </w:tcPr>
          <w:p>
            <w:pPr>
              <w:spacing w:line="257" w:lineRule="auto"/>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落实应用企业电子签章。配合推动广西电子税务局更多税费事项“全流程自主办结”，并逐步扩大审核办结类事项“机审办结”和“自行申报、事后监管”范围。</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柳北税务局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区政管办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6"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default" w:ascii="微软雅黑" w:hAnsi="微软雅黑" w:eastAsia="微软雅黑" w:cs="微软雅黑"/>
                <w:spacing w:val="0"/>
                <w:sz w:val="22"/>
                <w:szCs w:val="22"/>
                <w:lang w:val="en-US" w:eastAsia="zh-CN"/>
              </w:rPr>
            </w:pPr>
            <w:r>
              <w:rPr>
                <w:rFonts w:hint="eastAsia" w:ascii="微软雅黑" w:hAnsi="微软雅黑" w:eastAsia="微软雅黑" w:cs="微软雅黑"/>
                <w:spacing w:val="0"/>
                <w:sz w:val="22"/>
                <w:szCs w:val="22"/>
                <w:lang w:val="en-US" w:eastAsia="zh-CN"/>
              </w:rPr>
              <w:t>74</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纳税</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按场景整合精减电子税务局税费业务办理环节</w:t>
            </w:r>
          </w:p>
        </w:tc>
        <w:tc>
          <w:tcPr>
            <w:tcW w:w="3262" w:type="dxa"/>
            <w:vAlign w:val="top"/>
          </w:tcPr>
          <w:p>
            <w:pPr>
              <w:spacing w:line="257" w:lineRule="auto"/>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聚焦复杂业务操作繁琐的问题，配合按场景整合精减电子税务局税费业务办理环节，简化系统操作步骤，全面推广应用广西税务</w:t>
            </w:r>
            <w:r>
              <w:rPr>
                <w:rFonts w:hint="eastAsia" w:ascii="微软雅黑" w:hAnsi="微软雅黑" w:eastAsia="微软雅黑" w:cs="微软雅黑"/>
                <w:sz w:val="22"/>
                <w:szCs w:val="22"/>
              </w:rPr>
              <w:t>APP</w:t>
            </w:r>
            <w:r>
              <w:rPr>
                <w:rFonts w:hint="eastAsia" w:ascii="微软雅黑" w:hAnsi="微软雅黑" w:eastAsia="微软雅黑" w:cs="微软雅黑"/>
                <w:spacing w:val="0"/>
                <w:sz w:val="22"/>
                <w:szCs w:val="22"/>
              </w:rPr>
              <w:t>，实现税费事项“一键轻松办”。</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柳北税务局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tc>
      </w:tr>
    </w:tbl>
    <w:p>
      <w:pPr>
        <w:spacing w:before="0" w:line="257" w:lineRule="auto"/>
        <w:rPr>
          <w:rFonts w:hint="eastAsia" w:ascii="微软雅黑" w:hAnsi="微软雅黑" w:eastAsia="微软雅黑" w:cs="微软雅黑"/>
          <w:sz w:val="22"/>
          <w:szCs w:val="22"/>
        </w:rPr>
      </w:pPr>
    </w:p>
    <w:tbl>
      <w:tblPr>
        <w:tblStyle w:val="8"/>
        <w:tblW w:w="12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4"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val="en-US" w:eastAsia="zh-CN"/>
              </w:rPr>
              <w:t>75</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纳税</w:t>
            </w:r>
          </w:p>
        </w:tc>
        <w:tc>
          <w:tcPr>
            <w:tcW w:w="1828" w:type="dxa"/>
            <w:vAlign w:val="top"/>
          </w:tcPr>
          <w:p>
            <w:pPr>
              <w:pStyle w:val="2"/>
              <w:rPr>
                <w:rFonts w:hint="default"/>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推行增值税留抵退税“报退合一”</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配合实现企业申请数据自动预填，增值税留抵退税直达快享。落实“非接触”“无纸化”“免填单”等简化办理流程模式，积极与国库沟通，争取当日完成退税。</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柳北税务局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7"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val="en-US" w:eastAsia="zh-CN"/>
              </w:rPr>
              <w:t>76</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纳税</w:t>
            </w:r>
          </w:p>
        </w:tc>
        <w:tc>
          <w:tcPr>
            <w:tcW w:w="1828" w:type="dxa"/>
            <w:vAlign w:val="top"/>
          </w:tcPr>
          <w:p>
            <w:pPr>
              <w:spacing w:line="257" w:lineRule="auto"/>
              <w:jc w:val="both"/>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扩大“财税衔接”覆盖面</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争取更多纳税人纳入“财税衔接”白名单，帮助纳税人将财务软件数据和购销发票数据“一键转换”，自动生成增值税和企业所得税纳税申报表并完成申报。</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柳北税务局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2" w:hRule="atLeast"/>
        </w:trPr>
        <w:tc>
          <w:tcPr>
            <w:tcW w:w="715" w:type="dxa"/>
            <w:vAlign w:val="top"/>
          </w:tcPr>
          <w:p>
            <w:pPr>
              <w:spacing w:line="257" w:lineRule="auto"/>
              <w:ind w:firstLine="0" w:firstLineChars="0"/>
              <w:jc w:val="both"/>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val="en-US" w:eastAsia="zh-CN"/>
              </w:rPr>
            </w:pPr>
            <w:r>
              <w:rPr>
                <w:rFonts w:hint="eastAsia" w:ascii="微软雅黑" w:hAnsi="微软雅黑" w:eastAsia="微软雅黑" w:cs="微软雅黑"/>
                <w:spacing w:val="0"/>
                <w:sz w:val="22"/>
                <w:szCs w:val="22"/>
                <w:lang w:val="en-US" w:eastAsia="zh-CN"/>
              </w:rPr>
              <w:t>77</w:t>
            </w:r>
          </w:p>
        </w:tc>
        <w:tc>
          <w:tcPr>
            <w:tcW w:w="875" w:type="dxa"/>
            <w:vAlign w:val="top"/>
          </w:tcPr>
          <w:p>
            <w:pPr>
              <w:spacing w:line="257" w:lineRule="auto"/>
              <w:jc w:val="both"/>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纳税</w:t>
            </w:r>
          </w:p>
        </w:tc>
        <w:tc>
          <w:tcPr>
            <w:tcW w:w="1828" w:type="dxa"/>
            <w:vAlign w:val="top"/>
          </w:tcPr>
          <w:p>
            <w:pPr>
              <w:spacing w:line="257" w:lineRule="auto"/>
              <w:jc w:val="both"/>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提升纳税人诉求响应解决效率</w:t>
            </w:r>
          </w:p>
        </w:tc>
        <w:tc>
          <w:tcPr>
            <w:tcW w:w="3262" w:type="dxa"/>
            <w:vAlign w:val="top"/>
          </w:tcPr>
          <w:p>
            <w:pPr>
              <w:spacing w:line="257" w:lineRule="auto"/>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纳税人诉求渠道知晓和实际使用率不低于80%，纳税人发起人工服务需求响应及时率不低于80%，纳税人诉求解决率90%以上。</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柳北税务局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7"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val="en-US" w:eastAsia="zh-CN"/>
              </w:rPr>
            </w:pPr>
            <w:r>
              <w:rPr>
                <w:rFonts w:hint="eastAsia" w:ascii="微软雅黑" w:hAnsi="微软雅黑" w:eastAsia="微软雅黑" w:cs="微软雅黑"/>
                <w:spacing w:val="0"/>
                <w:sz w:val="22"/>
                <w:szCs w:val="22"/>
                <w:lang w:val="en-US" w:eastAsia="zh-CN"/>
              </w:rPr>
              <w:t>78</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纳税</w:t>
            </w:r>
          </w:p>
        </w:tc>
        <w:tc>
          <w:tcPr>
            <w:tcW w:w="1828" w:type="dxa"/>
            <w:vAlign w:val="top"/>
          </w:tcPr>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做优纳税服务“税好办”品牌</w:t>
            </w:r>
          </w:p>
        </w:tc>
        <w:tc>
          <w:tcPr>
            <w:tcW w:w="3262" w:type="dxa"/>
            <w:vAlign w:val="top"/>
          </w:tcPr>
          <w:p>
            <w:pPr>
              <w:spacing w:line="257" w:lineRule="auto"/>
              <w:rPr>
                <w:rFonts w:hint="eastAsia" w:ascii="微软雅黑" w:hAnsi="微软雅黑" w:eastAsia="微软雅黑" w:cs="微软雅黑"/>
                <w:sz w:val="22"/>
                <w:szCs w:val="22"/>
              </w:rPr>
            </w:pPr>
          </w:p>
          <w:p>
            <w:pPr>
              <w:spacing w:line="257" w:lineRule="auto"/>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配合全面推进税收征管数字化升级和智能化改造，推广全面数字化的电子发票。</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柳北税务局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tc>
      </w:tr>
    </w:tbl>
    <w:p>
      <w:pPr>
        <w:spacing w:line="257" w:lineRule="auto"/>
        <w:rPr>
          <w:rFonts w:hint="eastAsia" w:ascii="微软雅黑" w:hAnsi="微软雅黑" w:eastAsia="微软雅黑" w:cs="微软雅黑"/>
          <w:sz w:val="22"/>
          <w:szCs w:val="22"/>
        </w:rPr>
        <w:sectPr>
          <w:footerReference r:id="rId28" w:type="default"/>
          <w:pgSz w:w="16838" w:h="11906"/>
          <w:pgMar w:top="400" w:right="2104" w:bottom="1514" w:left="2203"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4"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val="en-US" w:eastAsia="zh-CN"/>
              </w:rPr>
              <w:t>79</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纳税</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提升纳税服务满意率</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借助“桂税e点通”征纳互动平台做好税费政策解读与办税缴费指引，诉求响应平均时长缩短至1分钟以内，服务满意率95%以上。</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柳北税务局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4"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val="en-US" w:eastAsia="zh-CN"/>
              </w:rPr>
              <w:t>80</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纳税</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深化非税收入收缴电子化改革</w:t>
            </w:r>
          </w:p>
        </w:tc>
        <w:tc>
          <w:tcPr>
            <w:tcW w:w="3262" w:type="dxa"/>
            <w:vAlign w:val="top"/>
          </w:tcPr>
          <w:p>
            <w:pPr>
              <w:spacing w:line="257" w:lineRule="auto"/>
              <w:rPr>
                <w:rFonts w:hint="eastAsia" w:ascii="微软雅黑" w:hAnsi="微软雅黑" w:eastAsia="微软雅黑" w:cs="微软雅黑"/>
                <w:sz w:val="22"/>
                <w:szCs w:val="22"/>
              </w:rPr>
            </w:pPr>
          </w:p>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积极拓展多样化便民缴款用票方式，推动非税收入全领域电子缴款。</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区财政局</w:t>
            </w:r>
          </w:p>
        </w:tc>
        <w:tc>
          <w:tcPr>
            <w:tcW w:w="1927"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柳北税务局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 w:hRule="atLeast"/>
        </w:trPr>
        <w:tc>
          <w:tcPr>
            <w:tcW w:w="715" w:type="dxa"/>
            <w:vAlign w:val="top"/>
          </w:tcPr>
          <w:p>
            <w:pPr>
              <w:pStyle w:val="2"/>
              <w:rPr>
                <w:rFonts w:hint="eastAsia"/>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val="en-US" w:eastAsia="zh-CN"/>
              </w:rPr>
              <w:t>81</w:t>
            </w:r>
          </w:p>
        </w:tc>
        <w:tc>
          <w:tcPr>
            <w:tcW w:w="875" w:type="dxa"/>
            <w:vAlign w:val="top"/>
          </w:tcPr>
          <w:p>
            <w:pPr>
              <w:pStyle w:val="2"/>
              <w:rPr>
                <w:rFonts w:hint="eastAsia"/>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纳税</w:t>
            </w:r>
          </w:p>
        </w:tc>
        <w:tc>
          <w:tcPr>
            <w:tcW w:w="1828" w:type="dxa"/>
            <w:vAlign w:val="top"/>
          </w:tcPr>
          <w:p>
            <w:pPr>
              <w:pStyle w:val="2"/>
              <w:rPr>
                <w:rFonts w:hint="eastAsia"/>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深化“银税互动”应用</w:t>
            </w:r>
          </w:p>
        </w:tc>
        <w:tc>
          <w:tcPr>
            <w:tcW w:w="3262" w:type="dxa"/>
            <w:vAlign w:val="top"/>
          </w:tcPr>
          <w:p>
            <w:pPr>
              <w:spacing w:line="257" w:lineRule="auto"/>
              <w:jc w:val="left"/>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rPr>
              <w:t>盘活纳税信用数据，深化“银税互动”应用，力争</w:t>
            </w:r>
            <w:r>
              <w:rPr>
                <w:rFonts w:hint="eastAsia" w:ascii="微软雅黑" w:hAnsi="微软雅黑" w:eastAsia="微软雅黑" w:cs="微软雅黑"/>
                <w:spacing w:val="0"/>
                <w:sz w:val="22"/>
                <w:szCs w:val="22"/>
                <w:lang w:eastAsia="zh-CN"/>
              </w:rPr>
              <w:t>完成柳州市下达柳北区</w:t>
            </w:r>
            <w:r>
              <w:rPr>
                <w:rFonts w:hint="eastAsia" w:ascii="微软雅黑" w:hAnsi="微软雅黑" w:eastAsia="微软雅黑" w:cs="微软雅黑"/>
                <w:spacing w:val="0"/>
                <w:sz w:val="22"/>
                <w:szCs w:val="22"/>
              </w:rPr>
              <w:t>为诚信纳税中小微企业提供“银税互动”贷款</w:t>
            </w:r>
            <w:r>
              <w:rPr>
                <w:rFonts w:hint="eastAsia" w:ascii="微软雅黑" w:hAnsi="微软雅黑" w:eastAsia="微软雅黑" w:cs="微软雅黑"/>
                <w:spacing w:val="0"/>
                <w:sz w:val="22"/>
                <w:szCs w:val="22"/>
                <w:lang w:eastAsia="zh-CN"/>
              </w:rPr>
              <w:t>的目标任务。</w:t>
            </w:r>
          </w:p>
        </w:tc>
        <w:tc>
          <w:tcPr>
            <w:tcW w:w="1732" w:type="dxa"/>
            <w:vAlign w:val="top"/>
          </w:tcPr>
          <w:p>
            <w:pPr>
              <w:pStyle w:val="2"/>
              <w:rPr>
                <w:rFonts w:hint="eastAsia"/>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pStyle w:val="2"/>
              <w:rPr>
                <w:rFonts w:hint="eastAsia"/>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柳北税务局</w:t>
            </w:r>
          </w:p>
        </w:tc>
        <w:tc>
          <w:tcPr>
            <w:tcW w:w="1927" w:type="dxa"/>
            <w:vAlign w:val="top"/>
          </w:tcPr>
          <w:p>
            <w:pPr>
              <w:pStyle w:val="2"/>
              <w:rPr>
                <w:rFonts w:hint="eastAsia"/>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区财政局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val="en-US" w:eastAsia="zh-CN"/>
              </w:rPr>
            </w:pPr>
            <w:r>
              <w:rPr>
                <w:rFonts w:hint="eastAsia" w:ascii="微软雅黑" w:hAnsi="微软雅黑" w:eastAsia="微软雅黑" w:cs="微软雅黑"/>
                <w:spacing w:val="0"/>
                <w:sz w:val="22"/>
                <w:szCs w:val="22"/>
                <w:lang w:val="en-US" w:eastAsia="zh-CN"/>
              </w:rPr>
              <w:t>82</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纳税</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精细服务提档</w:t>
            </w:r>
          </w:p>
        </w:tc>
        <w:tc>
          <w:tcPr>
            <w:tcW w:w="3262" w:type="dxa"/>
            <w:vAlign w:val="top"/>
          </w:tcPr>
          <w:p>
            <w:pPr>
              <w:spacing w:line="257" w:lineRule="auto"/>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针对上汽通用五菱“一二五”工程，量身定制税费服务方案，从落实优惠政策、提供精细服务、防范涉税风险等方面，采取团队专属联动化、服务专项精细化、数据专用智能化等税费服务举措，为提升柳州市新能源汽车研发能力和产业链水平。</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柳北税务局</w:t>
            </w:r>
          </w:p>
        </w:tc>
        <w:tc>
          <w:tcPr>
            <w:tcW w:w="1927" w:type="dxa"/>
            <w:vAlign w:val="top"/>
          </w:tcPr>
          <w:p>
            <w:pPr>
              <w:spacing w:line="257" w:lineRule="auto"/>
              <w:jc w:val="center"/>
              <w:rPr>
                <w:rFonts w:hint="eastAsia" w:ascii="微软雅黑" w:hAnsi="微软雅黑" w:eastAsia="微软雅黑" w:cs="微软雅黑"/>
                <w:spacing w:val="0"/>
                <w:sz w:val="22"/>
                <w:szCs w:val="22"/>
                <w:lang w:eastAsia="zh-CN"/>
              </w:rPr>
            </w:pPr>
          </w:p>
        </w:tc>
      </w:tr>
    </w:tbl>
    <w:p>
      <w:pPr>
        <w:spacing w:line="257" w:lineRule="auto"/>
        <w:rPr>
          <w:rFonts w:hint="eastAsia" w:ascii="微软雅黑" w:hAnsi="微软雅黑" w:eastAsia="微软雅黑" w:cs="微软雅黑"/>
          <w:sz w:val="22"/>
          <w:szCs w:val="22"/>
        </w:rPr>
        <w:sectPr>
          <w:footerReference r:id="rId29" w:type="default"/>
          <w:pgSz w:w="16838" w:h="11906"/>
          <w:pgMar w:top="400" w:right="2203" w:bottom="1514" w:left="2104"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4"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val="en-US" w:eastAsia="zh-CN"/>
              </w:rPr>
              <w:t>83</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纳税</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打造“税务+社区”服务品牌</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以“金税三期”等涉税（费）系统和社区网格管理系统为依托，向社区和街道长期派驻业务精湛的税务网格员，深化与社区资源共建共享，共同开展社保医保线上缴纳和税费业务线下解答服务。</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柳北税务局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区人社局，各有关单位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715" w:type="dxa"/>
            <w:vAlign w:val="top"/>
          </w:tcPr>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val="en-US" w:eastAsia="zh-CN"/>
              </w:rPr>
              <w:t>84</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纳税</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实现同城统一涉税事项</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梳理整合涉税事项，实现同城“统一标准、统一步骤、统一尺度、统一解答”，提升纳税人缴费人体验感。</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柳北税务局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715" w:type="dxa"/>
            <w:vAlign w:val="top"/>
          </w:tcPr>
          <w:p>
            <w:pPr>
              <w:spacing w:before="0" w:line="257" w:lineRule="auto"/>
              <w:ind w:left="0" w:leftChars="0" w:firstLine="0" w:firstLineChars="0"/>
              <w:jc w:val="center"/>
              <w:rPr>
                <w:rFonts w:hint="eastAsia" w:ascii="微软雅黑" w:hAnsi="微软雅黑" w:eastAsia="微软雅黑" w:cs="微软雅黑"/>
                <w:spacing w:val="0"/>
                <w:sz w:val="22"/>
                <w:szCs w:val="22"/>
                <w:lang w:val="en-US" w:eastAsia="zh-CN"/>
              </w:rPr>
            </w:pPr>
          </w:p>
          <w:p>
            <w:pPr>
              <w:spacing w:before="0" w:line="257" w:lineRule="auto"/>
              <w:ind w:left="0" w:leftChars="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val="en-US" w:eastAsia="zh-CN"/>
              </w:rPr>
              <w:t xml:space="preserve"> 85</w:t>
            </w:r>
          </w:p>
        </w:tc>
        <w:tc>
          <w:tcPr>
            <w:tcW w:w="875"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执行合同</w:t>
            </w:r>
          </w:p>
        </w:tc>
        <w:tc>
          <w:tcPr>
            <w:tcW w:w="1828"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加强信息互通</w:t>
            </w:r>
          </w:p>
        </w:tc>
        <w:tc>
          <w:tcPr>
            <w:tcW w:w="3262" w:type="dxa"/>
            <w:vAlign w:val="top"/>
          </w:tcPr>
          <w:p>
            <w:pPr>
              <w:spacing w:line="257" w:lineRule="auto"/>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在法院诉讼服务中心为符合条件的当事人及其代理人提供全区人口信息查询服务。</w:t>
            </w:r>
          </w:p>
        </w:tc>
        <w:tc>
          <w:tcPr>
            <w:tcW w:w="1732"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区人民法院</w:t>
            </w:r>
          </w:p>
        </w:tc>
        <w:tc>
          <w:tcPr>
            <w:tcW w:w="1927"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市公安局柳北分局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val="en-US" w:eastAsia="zh-CN"/>
              </w:rPr>
            </w:pPr>
            <w:r>
              <w:rPr>
                <w:rFonts w:hint="eastAsia" w:ascii="微软雅黑" w:hAnsi="微软雅黑" w:eastAsia="微软雅黑" w:cs="微软雅黑"/>
                <w:spacing w:val="0"/>
                <w:sz w:val="22"/>
                <w:szCs w:val="22"/>
                <w:lang w:val="en-US" w:eastAsia="zh-CN"/>
              </w:rPr>
              <w:t>86</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执行合同</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提升审判质量效</w:t>
            </w:r>
            <w:r>
              <w:rPr>
                <w:rFonts w:hint="eastAsia" w:ascii="微软雅黑" w:hAnsi="微软雅黑" w:eastAsia="微软雅黑" w:cs="微软雅黑"/>
                <w:sz w:val="22"/>
                <w:szCs w:val="22"/>
                <w:lang w:eastAsia="zh-CN"/>
              </w:rPr>
              <w:t>率</w:t>
            </w:r>
          </w:p>
        </w:tc>
        <w:tc>
          <w:tcPr>
            <w:tcW w:w="3262" w:type="dxa"/>
            <w:vAlign w:val="top"/>
          </w:tcPr>
          <w:p>
            <w:pPr>
              <w:spacing w:line="257" w:lineRule="auto"/>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加强立案、保全、鉴定、上诉流转等案件流程节点管控，严格审限变更，落实批量案件诉前调解、示范裁判制度，落实类案强制检索制度，规范案件判前释明和判后答疑，建立案件回访制度，每年不少于10个案件。</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区人民法院</w:t>
            </w:r>
          </w:p>
        </w:tc>
        <w:tc>
          <w:tcPr>
            <w:tcW w:w="1927" w:type="dxa"/>
            <w:vAlign w:val="top"/>
          </w:tcPr>
          <w:p>
            <w:pPr>
              <w:spacing w:line="257" w:lineRule="auto"/>
              <w:jc w:val="center"/>
              <w:rPr>
                <w:rFonts w:hint="eastAsia" w:ascii="微软雅黑" w:hAnsi="微软雅黑" w:eastAsia="微软雅黑" w:cs="微软雅黑"/>
                <w:spacing w:val="0"/>
                <w:sz w:val="22"/>
                <w:szCs w:val="22"/>
                <w:lang w:eastAsia="zh-CN"/>
              </w:rPr>
            </w:pPr>
          </w:p>
        </w:tc>
      </w:tr>
    </w:tbl>
    <w:p>
      <w:pPr>
        <w:spacing w:line="257" w:lineRule="auto"/>
        <w:rPr>
          <w:rFonts w:hint="eastAsia" w:ascii="微软雅黑" w:hAnsi="微软雅黑" w:eastAsia="微软雅黑" w:cs="微软雅黑"/>
          <w:sz w:val="22"/>
          <w:szCs w:val="22"/>
        </w:rPr>
        <w:sectPr>
          <w:footerReference r:id="rId30" w:type="default"/>
          <w:pgSz w:w="16838" w:h="11906"/>
          <w:pgMar w:top="400" w:right="2104" w:bottom="1514" w:left="2203"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715" w:type="dxa"/>
            <w:vAlign w:val="top"/>
          </w:tcPr>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val="en-US" w:eastAsia="zh-CN"/>
              </w:rPr>
              <w:t>87</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执行合同</w:t>
            </w:r>
          </w:p>
        </w:tc>
        <w:tc>
          <w:tcPr>
            <w:tcW w:w="1828"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全面推进涉案企业合规改革试点工作</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检察机关深化涉案企业合规改革试点工作，进一步完善相关的制度机制，推进涉案企业合规刑事诉讼全流程适用。</w:t>
            </w:r>
          </w:p>
        </w:tc>
        <w:tc>
          <w:tcPr>
            <w:tcW w:w="1732" w:type="dxa"/>
            <w:vAlign w:val="top"/>
          </w:tcPr>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区人民检察院</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区工商联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val="en-US" w:eastAsia="zh-CN"/>
              </w:rPr>
              <w:t>88</w:t>
            </w:r>
          </w:p>
        </w:tc>
        <w:tc>
          <w:tcPr>
            <w:tcW w:w="875"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执行合同</w:t>
            </w:r>
          </w:p>
        </w:tc>
        <w:tc>
          <w:tcPr>
            <w:tcW w:w="1828"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商业纠纷办理时</w:t>
            </w:r>
            <w:r>
              <w:rPr>
                <w:rFonts w:hint="eastAsia" w:ascii="微软雅黑" w:hAnsi="微软雅黑" w:eastAsia="微软雅黑" w:cs="微软雅黑"/>
                <w:sz w:val="22"/>
                <w:szCs w:val="22"/>
                <w:lang w:eastAsia="zh-CN"/>
              </w:rPr>
              <w:t>间</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解决商业纠纷平均用时压缩至120天以内（含120天，扣除当事人申请强制执行的时间）。</w:t>
            </w:r>
          </w:p>
        </w:tc>
        <w:tc>
          <w:tcPr>
            <w:tcW w:w="1732"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区人民法院</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715" w:type="dxa"/>
            <w:vAlign w:val="top"/>
          </w:tcPr>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val="en-US" w:eastAsia="zh-CN"/>
              </w:rPr>
              <w:t>89</w:t>
            </w:r>
          </w:p>
        </w:tc>
        <w:tc>
          <w:tcPr>
            <w:tcW w:w="875" w:type="dxa"/>
            <w:vAlign w:val="top"/>
          </w:tcPr>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执行合同</w:t>
            </w:r>
          </w:p>
        </w:tc>
        <w:tc>
          <w:tcPr>
            <w:tcW w:w="1828" w:type="dxa"/>
            <w:vAlign w:val="top"/>
          </w:tcPr>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降低办理费用</w:t>
            </w:r>
          </w:p>
        </w:tc>
        <w:tc>
          <w:tcPr>
            <w:tcW w:w="3262" w:type="dxa"/>
            <w:vAlign w:val="top"/>
          </w:tcPr>
          <w:p>
            <w:pPr>
              <w:spacing w:line="257" w:lineRule="auto"/>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法院解决商业纠纷诉讼成本占索赔额比例降低至2.4%以下。</w:t>
            </w:r>
          </w:p>
        </w:tc>
        <w:tc>
          <w:tcPr>
            <w:tcW w:w="1732" w:type="dxa"/>
            <w:vAlign w:val="top"/>
          </w:tcPr>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区人民法院</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7" w:hRule="atLeast"/>
        </w:trPr>
        <w:tc>
          <w:tcPr>
            <w:tcW w:w="715" w:type="dxa"/>
            <w:vAlign w:val="top"/>
          </w:tcPr>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val="en-US" w:eastAsia="zh-CN"/>
              </w:rPr>
              <w:t>90</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执行合同</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加快推进涉企业纠纷联动解决机制建设</w:t>
            </w:r>
          </w:p>
        </w:tc>
        <w:tc>
          <w:tcPr>
            <w:tcW w:w="3262" w:type="dxa"/>
            <w:vAlign w:val="top"/>
          </w:tcPr>
          <w:p>
            <w:pPr>
              <w:spacing w:line="257" w:lineRule="auto"/>
              <w:rPr>
                <w:rFonts w:hint="eastAsia" w:ascii="微软雅黑" w:hAnsi="微软雅黑" w:eastAsia="微软雅黑" w:cs="微软雅黑"/>
                <w:sz w:val="22"/>
                <w:szCs w:val="22"/>
              </w:rPr>
            </w:pPr>
          </w:p>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深化诉源治理，力争实现涉企业纠纷案件审限内结案率达到95%以上。</w:t>
            </w:r>
          </w:p>
        </w:tc>
        <w:tc>
          <w:tcPr>
            <w:tcW w:w="1732" w:type="dxa"/>
            <w:vAlign w:val="top"/>
          </w:tcPr>
          <w:p>
            <w:pPr>
              <w:spacing w:line="257" w:lineRule="auto"/>
              <w:jc w:val="both"/>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区人民法院</w:t>
            </w:r>
          </w:p>
        </w:tc>
        <w:tc>
          <w:tcPr>
            <w:tcW w:w="1927" w:type="dxa"/>
            <w:vAlign w:val="top"/>
          </w:tcPr>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区人民检察院，市公安局柳北分局，司法局、市场监管局，各有关单位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7" w:hRule="atLeast"/>
        </w:trPr>
        <w:tc>
          <w:tcPr>
            <w:tcW w:w="715" w:type="dxa"/>
            <w:vAlign w:val="top"/>
          </w:tcPr>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val="en-US" w:eastAsia="zh-CN"/>
              </w:rPr>
              <w:t>91</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执行合同</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加强营商环境法治建设</w:t>
            </w:r>
          </w:p>
        </w:tc>
        <w:tc>
          <w:tcPr>
            <w:tcW w:w="3262" w:type="dxa"/>
            <w:vAlign w:val="top"/>
          </w:tcPr>
          <w:p>
            <w:pPr>
              <w:spacing w:line="257" w:lineRule="auto"/>
              <w:rPr>
                <w:rFonts w:hint="eastAsia" w:ascii="微软雅黑" w:hAnsi="微软雅黑" w:eastAsia="微软雅黑" w:cs="微软雅黑"/>
                <w:spacing w:val="0"/>
                <w:sz w:val="22"/>
                <w:szCs w:val="22"/>
              </w:rPr>
            </w:pPr>
          </w:p>
          <w:p>
            <w:pPr>
              <w:spacing w:line="257" w:lineRule="auto"/>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实施法律服务进企业和免费法律咨询等专项行动。</w:t>
            </w:r>
          </w:p>
        </w:tc>
        <w:tc>
          <w:tcPr>
            <w:tcW w:w="1732" w:type="dxa"/>
            <w:vAlign w:val="top"/>
          </w:tcPr>
          <w:p>
            <w:pPr>
              <w:spacing w:line="257" w:lineRule="auto"/>
              <w:jc w:val="both"/>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区人民法院</w:t>
            </w:r>
          </w:p>
        </w:tc>
        <w:tc>
          <w:tcPr>
            <w:tcW w:w="1927" w:type="dxa"/>
            <w:vAlign w:val="top"/>
          </w:tcPr>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区人民检察院，市公安局柳北分局、司法局、市场监管局，各有关单位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7" w:hRule="atLeast"/>
        </w:trPr>
        <w:tc>
          <w:tcPr>
            <w:tcW w:w="715" w:type="dxa"/>
            <w:vAlign w:val="top"/>
          </w:tcPr>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val="en-US" w:eastAsia="zh-CN"/>
              </w:rPr>
              <w:t>92</w:t>
            </w:r>
          </w:p>
        </w:tc>
        <w:tc>
          <w:tcPr>
            <w:tcW w:w="875" w:type="dxa"/>
            <w:vAlign w:val="top"/>
          </w:tcPr>
          <w:p>
            <w:pPr>
              <w:spacing w:line="257" w:lineRule="auto"/>
              <w:jc w:val="center"/>
              <w:rPr>
                <w:rFonts w:hint="eastAsia" w:ascii="微软雅黑" w:hAnsi="微软雅黑" w:eastAsia="微软雅黑" w:cs="微软雅黑"/>
                <w:spacing w:val="0"/>
                <w:w w:val="10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w w:val="100"/>
                <w:sz w:val="22"/>
                <w:szCs w:val="22"/>
                <w:lang w:eastAsia="zh-CN"/>
              </w:rPr>
              <w:t>办理</w:t>
            </w:r>
            <w:r>
              <w:rPr>
                <w:rFonts w:hint="eastAsia" w:ascii="微软雅黑" w:hAnsi="微软雅黑" w:eastAsia="微软雅黑" w:cs="微软雅黑"/>
                <w:spacing w:val="0"/>
                <w:sz w:val="22"/>
                <w:szCs w:val="22"/>
                <w:lang w:eastAsia="zh-CN"/>
              </w:rPr>
              <w:t>破产</w:t>
            </w:r>
          </w:p>
        </w:tc>
        <w:tc>
          <w:tcPr>
            <w:tcW w:w="1828"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压缩收回债务所需时间</w:t>
            </w:r>
          </w:p>
        </w:tc>
        <w:tc>
          <w:tcPr>
            <w:tcW w:w="3262" w:type="dxa"/>
            <w:vAlign w:val="top"/>
          </w:tcPr>
          <w:p>
            <w:pPr>
              <w:spacing w:line="257" w:lineRule="auto"/>
              <w:rPr>
                <w:rFonts w:hint="eastAsia" w:ascii="微软雅黑" w:hAnsi="微软雅黑" w:eastAsia="微软雅黑" w:cs="微软雅黑"/>
                <w:spacing w:val="0"/>
                <w:sz w:val="22"/>
                <w:szCs w:val="22"/>
              </w:rPr>
            </w:pPr>
          </w:p>
          <w:p>
            <w:pPr>
              <w:spacing w:line="257" w:lineRule="auto"/>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破产案件收回债务所需平均时间压缩至1.1年。</w:t>
            </w:r>
          </w:p>
        </w:tc>
        <w:tc>
          <w:tcPr>
            <w:tcW w:w="1732"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区人民法院</w:t>
            </w:r>
          </w:p>
        </w:tc>
        <w:tc>
          <w:tcPr>
            <w:tcW w:w="1927" w:type="dxa"/>
            <w:vAlign w:val="top"/>
          </w:tcPr>
          <w:p>
            <w:pPr>
              <w:spacing w:line="257" w:lineRule="auto"/>
              <w:jc w:val="center"/>
              <w:rPr>
                <w:rFonts w:hint="eastAsia" w:ascii="微软雅黑" w:hAnsi="微软雅黑" w:eastAsia="微软雅黑" w:cs="微软雅黑"/>
                <w:spacing w:val="0"/>
                <w:sz w:val="22"/>
                <w:szCs w:val="22"/>
                <w:lang w:eastAsia="zh-CN"/>
              </w:rPr>
            </w:pPr>
          </w:p>
        </w:tc>
      </w:tr>
    </w:tbl>
    <w:p>
      <w:pPr>
        <w:spacing w:line="257" w:lineRule="auto"/>
        <w:rPr>
          <w:rFonts w:hint="eastAsia" w:ascii="微软雅黑" w:hAnsi="微软雅黑" w:eastAsia="微软雅黑" w:cs="微软雅黑"/>
          <w:sz w:val="22"/>
          <w:szCs w:val="22"/>
        </w:rPr>
        <w:sectPr>
          <w:footerReference r:id="rId31" w:type="default"/>
          <w:pgSz w:w="16838" w:h="11906"/>
          <w:pgMar w:top="400" w:right="2203" w:bottom="1514" w:left="2104"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715" w:type="dxa"/>
            <w:vAlign w:val="top"/>
          </w:tcPr>
          <w:p>
            <w:pPr>
              <w:pStyle w:val="2"/>
              <w:rPr>
                <w:rFonts w:hint="eastAsia"/>
                <w:lang w:eastAsia="zh-CN"/>
              </w:rPr>
            </w:pPr>
          </w:p>
          <w:p>
            <w:pPr>
              <w:pStyle w:val="3"/>
              <w:rPr>
                <w:rFonts w:hint="eastAsia"/>
                <w:lang w:eastAsia="zh-CN"/>
              </w:rPr>
            </w:pPr>
          </w:p>
          <w:p>
            <w:pPr>
              <w:spacing w:before="0" w:line="257" w:lineRule="auto"/>
              <w:ind w:left="0" w:leftChars="0" w:firstLine="0" w:firstLineChars="0"/>
              <w:jc w:val="center"/>
              <w:rPr>
                <w:rFonts w:hint="default" w:ascii="微软雅黑" w:hAnsi="微软雅黑" w:eastAsia="微软雅黑" w:cs="微软雅黑"/>
                <w:spacing w:val="0"/>
                <w:sz w:val="22"/>
                <w:szCs w:val="22"/>
                <w:lang w:val="en-US" w:eastAsia="zh-CN"/>
              </w:rPr>
            </w:pPr>
            <w:r>
              <w:rPr>
                <w:rFonts w:hint="eastAsia" w:ascii="微软雅黑" w:hAnsi="微软雅黑" w:eastAsia="微软雅黑" w:cs="微软雅黑"/>
                <w:sz w:val="22"/>
                <w:szCs w:val="22"/>
                <w:lang w:val="en-US" w:eastAsia="zh-CN"/>
              </w:rPr>
              <w:t>93</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w w:val="100"/>
                <w:sz w:val="22"/>
                <w:szCs w:val="22"/>
                <w:lang w:eastAsia="zh-CN"/>
              </w:rPr>
            </w:pPr>
            <w:r>
              <w:rPr>
                <w:rFonts w:hint="eastAsia" w:ascii="微软雅黑" w:hAnsi="微软雅黑" w:eastAsia="微软雅黑" w:cs="微软雅黑"/>
                <w:spacing w:val="0"/>
                <w:w w:val="100"/>
                <w:sz w:val="22"/>
                <w:szCs w:val="22"/>
                <w:lang w:eastAsia="zh-CN"/>
              </w:rPr>
              <w:t>办理</w:t>
            </w:r>
            <w:r>
              <w:rPr>
                <w:rFonts w:hint="eastAsia" w:ascii="微软雅黑" w:hAnsi="微软雅黑" w:eastAsia="微软雅黑" w:cs="微软雅黑"/>
                <w:spacing w:val="0"/>
                <w:sz w:val="22"/>
                <w:szCs w:val="22"/>
                <w:lang w:eastAsia="zh-CN"/>
              </w:rPr>
              <w:t>破产</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完善司法重整的府院联动机制</w:t>
            </w:r>
          </w:p>
        </w:tc>
        <w:tc>
          <w:tcPr>
            <w:tcW w:w="3262" w:type="dxa"/>
            <w:vAlign w:val="top"/>
          </w:tcPr>
          <w:p>
            <w:pPr>
              <w:spacing w:line="257" w:lineRule="auto"/>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丰富府院联动机制内涵，扩大机制覆盖面，出台配套性保障文件，妥善解决职工因企业欠缴滞纳金无法正常享受退休待遇、破产企业档案难保管等问题。</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区人民法院</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区档案馆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default" w:ascii="微软雅黑" w:hAnsi="微软雅黑" w:eastAsia="微软雅黑" w:cs="微软雅黑"/>
                <w:spacing w:val="0"/>
                <w:sz w:val="22"/>
                <w:szCs w:val="22"/>
                <w:lang w:val="en-US" w:eastAsia="zh-CN"/>
              </w:rPr>
            </w:pPr>
            <w:r>
              <w:rPr>
                <w:rFonts w:hint="eastAsia" w:ascii="微软雅黑" w:hAnsi="微软雅黑" w:eastAsia="微软雅黑" w:cs="微软雅黑"/>
                <w:spacing w:val="0"/>
                <w:sz w:val="22"/>
                <w:szCs w:val="22"/>
                <w:lang w:val="en-US" w:eastAsia="zh-CN"/>
              </w:rPr>
              <w:t>94</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w w:val="100"/>
                <w:sz w:val="22"/>
                <w:szCs w:val="22"/>
                <w:lang w:eastAsia="zh-CN"/>
              </w:rPr>
            </w:pPr>
            <w:r>
              <w:rPr>
                <w:rFonts w:hint="eastAsia" w:ascii="微软雅黑" w:hAnsi="微软雅黑" w:eastAsia="微软雅黑" w:cs="微软雅黑"/>
                <w:spacing w:val="0"/>
                <w:w w:val="100"/>
                <w:sz w:val="22"/>
                <w:szCs w:val="22"/>
                <w:lang w:eastAsia="zh-CN"/>
              </w:rPr>
              <w:t>办理</w:t>
            </w:r>
            <w:r>
              <w:rPr>
                <w:rFonts w:hint="eastAsia" w:ascii="微软雅黑" w:hAnsi="微软雅黑" w:eastAsia="微软雅黑" w:cs="微软雅黑"/>
                <w:spacing w:val="0"/>
                <w:sz w:val="22"/>
                <w:szCs w:val="22"/>
                <w:lang w:eastAsia="zh-CN"/>
              </w:rPr>
              <w:t>破产</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加快破产企业的债务处置</w:t>
            </w:r>
          </w:p>
        </w:tc>
        <w:tc>
          <w:tcPr>
            <w:tcW w:w="3262" w:type="dxa"/>
            <w:vAlign w:val="top"/>
          </w:tcPr>
          <w:p>
            <w:pPr>
              <w:spacing w:line="257" w:lineRule="auto"/>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加强对破产企业国有建设用地使用权及地上房屋的处置，解决破产企业所涉及的续建、权证办</w:t>
            </w:r>
            <w:r>
              <w:rPr>
                <w:rFonts w:hint="eastAsia" w:ascii="微软雅黑" w:hAnsi="微软雅黑" w:eastAsia="微软雅黑" w:cs="微软雅黑"/>
                <w:spacing w:val="0"/>
                <w:w w:val="100"/>
                <w:sz w:val="22"/>
                <w:szCs w:val="22"/>
              </w:rPr>
              <w:t>理、用地规划及调整、综合验收、</w:t>
            </w:r>
            <w:r>
              <w:rPr>
                <w:rFonts w:hint="eastAsia" w:ascii="微软雅黑" w:hAnsi="微软雅黑" w:eastAsia="微软雅黑" w:cs="微软雅黑"/>
                <w:spacing w:val="0"/>
                <w:sz w:val="22"/>
                <w:szCs w:val="22"/>
              </w:rPr>
              <w:t>权利瑕疵土地、房产处置等问题。用足用好城镇低效用地再开发等政策，允许破产企业对具备独立分宗条件，且分宗后不改变规划条件的土地和房产分割转让，针对破产案件中不动产难以</w:t>
            </w:r>
            <w:r>
              <w:rPr>
                <w:rFonts w:hint="eastAsia" w:ascii="微软雅黑" w:hAnsi="微软雅黑" w:eastAsia="微软雅黑" w:cs="微软雅黑"/>
                <w:sz w:val="22"/>
                <w:szCs w:val="22"/>
              </w:rPr>
              <w:t>处置的情形研究制定解决方案，</w:t>
            </w:r>
            <w:r>
              <w:rPr>
                <w:rFonts w:hint="eastAsia" w:ascii="微软雅黑" w:hAnsi="微软雅黑" w:eastAsia="微软雅黑" w:cs="微软雅黑"/>
                <w:spacing w:val="0"/>
                <w:sz w:val="22"/>
                <w:szCs w:val="22"/>
              </w:rPr>
              <w:t>盘活破产企业财产；对破产企业停工、在建或续建的项目，在确保工程质量和消防安全的前提下，完成续建及综合验收等工作。有效利用各类资产的多元化专业交易流转平台，提高资产处置效率和收益。</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区人民法院，区自然资源局</w:t>
            </w:r>
            <w:r>
              <w:rPr>
                <w:rFonts w:hint="eastAsia" w:ascii="微软雅黑" w:hAnsi="微软雅黑" w:eastAsia="微软雅黑" w:cs="微软雅黑"/>
                <w:spacing w:val="0"/>
                <w:w w:val="100"/>
                <w:sz w:val="22"/>
                <w:szCs w:val="22"/>
                <w:lang w:eastAsia="zh-CN"/>
              </w:rPr>
              <w:t>、住建局</w:t>
            </w:r>
            <w:r>
              <w:rPr>
                <w:rFonts w:hint="eastAsia" w:ascii="微软雅黑" w:hAnsi="微软雅黑" w:eastAsia="微软雅黑" w:cs="微软雅黑"/>
                <w:spacing w:val="0"/>
                <w:sz w:val="22"/>
                <w:szCs w:val="22"/>
                <w:lang w:eastAsia="zh-CN"/>
              </w:rPr>
              <w:t>按职责分工负责</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柳北税务局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val="en-US" w:eastAsia="zh-CN"/>
              </w:rPr>
              <w:t>95</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w w:val="100"/>
                <w:sz w:val="22"/>
                <w:szCs w:val="22"/>
                <w:lang w:eastAsia="zh-CN"/>
              </w:rPr>
            </w:pPr>
            <w:r>
              <w:rPr>
                <w:rFonts w:hint="eastAsia" w:ascii="微软雅黑" w:hAnsi="微软雅黑" w:eastAsia="微软雅黑" w:cs="微软雅黑"/>
                <w:spacing w:val="0"/>
                <w:sz w:val="22"/>
                <w:szCs w:val="22"/>
                <w:lang w:eastAsia="zh-CN"/>
              </w:rPr>
              <w:t>市场监管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“双随机、一公开”与信用风险分类相结合提高问题发现率</w:t>
            </w:r>
          </w:p>
        </w:tc>
        <w:tc>
          <w:tcPr>
            <w:tcW w:w="3262" w:type="dxa"/>
            <w:vAlign w:val="top"/>
          </w:tcPr>
          <w:p>
            <w:pPr>
              <w:spacing w:line="257" w:lineRule="auto"/>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推广使用自治区市场监管局建设的智慧市场监管系统，持续拓展“双随机、一公开”监管部门覆盖面，全面推进企业信用风险分类监管，实施差异化管理，增强监管的靶向性和精准性。</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区市场监管局</w:t>
            </w:r>
          </w:p>
        </w:tc>
        <w:tc>
          <w:tcPr>
            <w:tcW w:w="1927"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napToGrid w:val="0"/>
                <w:color w:val="000000"/>
                <w:kern w:val="0"/>
                <w:sz w:val="22"/>
                <w:szCs w:val="22"/>
                <w:lang w:val="en-US" w:eastAsia="zh-CN" w:bidi="ar-SA"/>
              </w:rPr>
            </w:pPr>
          </w:p>
          <w:p>
            <w:pPr>
              <w:spacing w:line="257" w:lineRule="auto"/>
              <w:jc w:val="center"/>
              <w:rPr>
                <w:rFonts w:hint="eastAsia" w:ascii="微软雅黑" w:hAnsi="微软雅黑" w:eastAsia="微软雅黑" w:cs="微软雅黑"/>
                <w:sz w:val="22"/>
                <w:szCs w:val="22"/>
                <w:lang w:val="en-US" w:eastAsia="zh-CN"/>
              </w:rPr>
            </w:pPr>
          </w:p>
          <w:p>
            <w:pPr>
              <w:spacing w:line="257" w:lineRule="auto"/>
              <w:ind w:firstLine="0"/>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柳北区“双随机、一公开”联席会各成员单位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val="en-US" w:eastAsia="zh-CN"/>
              </w:rPr>
              <w:t>96</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市场监管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严格规范监管执法行为</w:t>
            </w:r>
          </w:p>
        </w:tc>
        <w:tc>
          <w:tcPr>
            <w:tcW w:w="3262" w:type="dxa"/>
            <w:vAlign w:val="top"/>
          </w:tcPr>
          <w:p>
            <w:pPr>
              <w:spacing w:line="257" w:lineRule="auto"/>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全面提升监管透明度，实行市、县（区）两级监管事项动态调整。在市场监管、城市管理、应急管理、消防安全、交通运输、生态环境等领域，完善执法工作指引和标准化检查表单，规范日常监管行为。</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区市场监管局</w:t>
            </w:r>
          </w:p>
        </w:tc>
        <w:tc>
          <w:tcPr>
            <w:tcW w:w="1927"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br w:type="textWrapping"/>
            </w:r>
            <w:r>
              <w:rPr>
                <w:rFonts w:hint="eastAsia" w:ascii="微软雅黑" w:hAnsi="微软雅黑" w:eastAsia="微软雅黑" w:cs="微软雅黑"/>
                <w:spacing w:val="0"/>
                <w:sz w:val="22"/>
                <w:szCs w:val="22"/>
                <w:lang w:eastAsia="zh-CN"/>
              </w:rPr>
              <w:t>柳北生态环境局，住建局、交通运输局、应急局、消防大队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71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val="en-US" w:eastAsia="zh-CN"/>
              </w:rPr>
              <w:t>97</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市场监管</w:t>
            </w:r>
          </w:p>
        </w:tc>
        <w:tc>
          <w:tcPr>
            <w:tcW w:w="1828"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健全清理拖欠账款长效机制，强化专项行动效果评估，进一步做好防范和化解拖欠中小企业账款工作</w:t>
            </w:r>
          </w:p>
        </w:tc>
        <w:tc>
          <w:tcPr>
            <w:tcW w:w="3262" w:type="dxa"/>
            <w:vAlign w:val="top"/>
          </w:tcPr>
          <w:p>
            <w:pPr>
              <w:spacing w:line="257" w:lineRule="auto"/>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无分歧欠款发现一起清偿一起，确有支付困难的于2023年9月底前明确还款计划，对有分歧欠款，加快协商解决或运用法律手段解决；严禁未批先建、先开工后立项和要求企业垫资建设的情况发生；对拖欠主体表示已解决或明确还款协议或还款计划的，将</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区工信局</w:t>
            </w:r>
          </w:p>
        </w:tc>
        <w:tc>
          <w:tcPr>
            <w:tcW w:w="1927" w:type="dxa"/>
            <w:vAlign w:val="top"/>
          </w:tcPr>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区发改局、国资委、财政局、农业农村局、交通运输局、教育局、司法局、人社局、住建局、卫健局、审计局、市场监管局，</w:t>
            </w:r>
            <w:r>
              <w:rPr>
                <w:rFonts w:hint="eastAsia" w:ascii="微软雅黑" w:hAnsi="微软雅黑" w:eastAsia="微软雅黑" w:cs="微软雅黑"/>
                <w:sz w:val="22"/>
                <w:szCs w:val="22"/>
                <w:lang w:eastAsia="zh-CN"/>
              </w:rPr>
              <w:t>各有关单位</w:t>
            </w:r>
          </w:p>
        </w:tc>
      </w:tr>
    </w:tbl>
    <w:p>
      <w:pPr>
        <w:spacing w:before="0" w:line="257" w:lineRule="auto"/>
        <w:rPr>
          <w:rFonts w:hint="eastAsia" w:ascii="微软雅黑" w:hAnsi="微软雅黑" w:eastAsia="微软雅黑" w:cs="微软雅黑"/>
          <w:sz w:val="22"/>
          <w:szCs w:val="22"/>
        </w:rPr>
      </w:pPr>
    </w:p>
    <w:p>
      <w:pPr>
        <w:spacing w:before="0" w:line="257" w:lineRule="auto"/>
        <w:rPr>
          <w:rFonts w:hint="eastAsia" w:ascii="微软雅黑" w:hAnsi="微软雅黑" w:eastAsia="微软雅黑" w:cs="微软雅黑"/>
          <w:sz w:val="22"/>
          <w:szCs w:val="22"/>
        </w:rPr>
      </w:pPr>
    </w:p>
    <w:tbl>
      <w:tblPr>
        <w:tblStyle w:val="8"/>
        <w:tblW w:w="12426"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5"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tc>
        <w:tc>
          <w:tcPr>
            <w:tcW w:w="875" w:type="dxa"/>
            <w:vAlign w:val="top"/>
          </w:tcPr>
          <w:p>
            <w:pPr>
              <w:spacing w:line="257" w:lineRule="auto"/>
              <w:jc w:val="center"/>
              <w:rPr>
                <w:rFonts w:hint="eastAsia" w:ascii="微软雅黑" w:hAnsi="微软雅黑" w:eastAsia="微软雅黑" w:cs="微软雅黑"/>
                <w:sz w:val="22"/>
                <w:szCs w:val="22"/>
                <w:lang w:eastAsia="zh-CN"/>
              </w:rPr>
            </w:pPr>
          </w:p>
        </w:tc>
        <w:tc>
          <w:tcPr>
            <w:tcW w:w="1828" w:type="dxa"/>
            <w:vAlign w:val="top"/>
          </w:tcPr>
          <w:p>
            <w:pPr>
              <w:spacing w:line="257" w:lineRule="auto"/>
              <w:jc w:val="center"/>
              <w:rPr>
                <w:rFonts w:hint="eastAsia" w:ascii="微软雅黑" w:hAnsi="微软雅黑" w:eastAsia="微软雅黑" w:cs="微软雅黑"/>
                <w:sz w:val="22"/>
                <w:szCs w:val="22"/>
                <w:lang w:eastAsia="zh-CN"/>
              </w:rPr>
            </w:pP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lang w:val="en-US" w:eastAsia="zh-CN"/>
              </w:rPr>
              <w:t>适</w:t>
            </w:r>
            <w:r>
              <w:rPr>
                <w:rFonts w:hint="eastAsia" w:ascii="微软雅黑" w:hAnsi="微软雅黑" w:eastAsia="微软雅黑" w:cs="微软雅黑"/>
                <w:spacing w:val="0"/>
                <w:sz w:val="22"/>
                <w:szCs w:val="22"/>
              </w:rPr>
              <w:t>时开展实地核查或回访，了解拖欠问题是否真正解决到位、企业是否真正满意。2023年12月31日前偿还完毕全部无分歧欠款。</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tc>
        <w:tc>
          <w:tcPr>
            <w:tcW w:w="2087" w:type="dxa"/>
            <w:vAlign w:val="top"/>
          </w:tcPr>
          <w:p>
            <w:pPr>
              <w:spacing w:line="257" w:lineRule="auto"/>
              <w:jc w:val="center"/>
              <w:rPr>
                <w:rFonts w:hint="eastAsia" w:ascii="微软雅黑" w:hAnsi="微软雅黑" w:eastAsia="微软雅黑" w:cs="微软雅黑"/>
                <w:sz w:val="22"/>
                <w:szCs w:val="22"/>
                <w:lang w:eastAsia="zh-CN"/>
              </w:rPr>
            </w:pPr>
          </w:p>
        </w:tc>
        <w:tc>
          <w:tcPr>
            <w:tcW w:w="1927" w:type="dxa"/>
            <w:vAlign w:val="top"/>
          </w:tcPr>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br w:type="textWrapp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4"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val="en-US" w:eastAsia="zh-CN"/>
              </w:rPr>
              <w:t>98</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市场监管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建立政务诚信诉</w:t>
            </w:r>
            <w:r>
              <w:rPr>
                <w:rFonts w:hint="eastAsia" w:ascii="微软雅黑" w:hAnsi="微软雅黑" w:eastAsia="微软雅黑" w:cs="微软雅黑"/>
                <w:sz w:val="22"/>
                <w:szCs w:val="22"/>
                <w:lang w:eastAsia="zh-CN"/>
              </w:rPr>
              <w:t>讼执行协调机制</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围绕完善治理协调机制、信息共享机制、失信被执行人退出机制、治理情况反馈机制四方面，形成预警通报—信息共享—实时移出—治理反馈工作闭环，推动政务诚信履约。</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区人民法院</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区发改局、司法局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4"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default" w:ascii="微软雅黑" w:hAnsi="微软雅黑" w:eastAsia="微软雅黑" w:cs="微软雅黑"/>
                <w:sz w:val="22"/>
                <w:szCs w:val="22"/>
                <w:lang w:val="en-US" w:eastAsia="zh-CN"/>
              </w:rPr>
            </w:pPr>
            <w:r>
              <w:rPr>
                <w:rFonts w:hint="eastAsia" w:ascii="微软雅黑" w:hAnsi="微软雅黑" w:eastAsia="微软雅黑" w:cs="微软雅黑"/>
                <w:spacing w:val="0"/>
                <w:sz w:val="22"/>
                <w:szCs w:val="22"/>
                <w:lang w:val="en-US" w:eastAsia="zh-CN"/>
              </w:rPr>
              <w:t>99</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市场监管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加强数据要素市场监管</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建立跨部门协同监管机制，加强数据要素市场社会信用体系建设，推进交易异常行为发现与风险预警研究，完善数据流通交易环节监管措施，促进数据要素市</w:t>
            </w:r>
            <w:r>
              <w:rPr>
                <w:rFonts w:hint="eastAsia" w:ascii="微软雅黑" w:hAnsi="微软雅黑" w:eastAsia="微软雅黑" w:cs="微软雅黑"/>
                <w:sz w:val="22"/>
                <w:szCs w:val="22"/>
              </w:rPr>
              <w:t>场健康发展。</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pacing w:val="0"/>
                <w:sz w:val="22"/>
                <w:szCs w:val="22"/>
                <w:lang w:eastAsia="zh-CN"/>
              </w:rPr>
              <w:t>区发改局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市场监管局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7" w:hRule="atLeast"/>
        </w:trPr>
        <w:tc>
          <w:tcPr>
            <w:tcW w:w="715" w:type="dxa"/>
            <w:vAlign w:val="top"/>
          </w:tcPr>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val="en-US" w:eastAsia="zh-CN"/>
              </w:rPr>
              <w:t>100</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市场监管</w:t>
            </w:r>
          </w:p>
        </w:tc>
        <w:tc>
          <w:tcPr>
            <w:tcW w:w="1828"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加强网售产品质量抽检，清理规范涉企收费</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制定产品质量监督抽查计划和监督抽查实施细则，加大网络销售产品抽查力度，加大网售不合格产品案件的查处力度。持续开</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区市场监管局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tc>
      </w:tr>
    </w:tbl>
    <w:p>
      <w:pPr>
        <w:spacing w:line="257" w:lineRule="auto"/>
        <w:rPr>
          <w:rFonts w:hint="eastAsia" w:ascii="微软雅黑" w:hAnsi="微软雅黑" w:eastAsia="微软雅黑" w:cs="微软雅黑"/>
          <w:sz w:val="22"/>
          <w:szCs w:val="22"/>
        </w:rPr>
        <w:sectPr>
          <w:footerReference r:id="rId32" w:type="default"/>
          <w:pgSz w:w="16838" w:h="11906"/>
          <w:pgMar w:top="400" w:right="2203" w:bottom="1514" w:left="2104"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3"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tc>
        <w:tc>
          <w:tcPr>
            <w:tcW w:w="875" w:type="dxa"/>
            <w:vAlign w:val="top"/>
          </w:tcPr>
          <w:p>
            <w:pPr>
              <w:spacing w:line="257" w:lineRule="auto"/>
              <w:jc w:val="center"/>
              <w:rPr>
                <w:rFonts w:hint="eastAsia" w:ascii="微软雅黑" w:hAnsi="微软雅黑" w:eastAsia="微软雅黑" w:cs="微软雅黑"/>
                <w:sz w:val="22"/>
                <w:szCs w:val="22"/>
                <w:lang w:eastAsia="zh-CN"/>
              </w:rPr>
            </w:pPr>
          </w:p>
        </w:tc>
        <w:tc>
          <w:tcPr>
            <w:tcW w:w="1828" w:type="dxa"/>
            <w:vAlign w:val="top"/>
          </w:tcPr>
          <w:p>
            <w:pPr>
              <w:spacing w:line="257" w:lineRule="auto"/>
              <w:jc w:val="center"/>
              <w:rPr>
                <w:rFonts w:hint="eastAsia" w:ascii="微软雅黑" w:hAnsi="微软雅黑" w:eastAsia="微软雅黑" w:cs="微软雅黑"/>
                <w:sz w:val="22"/>
                <w:szCs w:val="22"/>
                <w:lang w:eastAsia="zh-CN"/>
              </w:rPr>
            </w:pP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展涉企违规收费专项治理行动，强化政府部门及下属单位的行政审批中介服务事项收费、金融服务收费、公用企业价格收费等重点领域收费检查，保障各类降费政策落实到位，降低市场主体经营成本。</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tc>
        <w:tc>
          <w:tcPr>
            <w:tcW w:w="2087" w:type="dxa"/>
            <w:vAlign w:val="top"/>
          </w:tcPr>
          <w:p>
            <w:pPr>
              <w:spacing w:line="257" w:lineRule="auto"/>
              <w:jc w:val="center"/>
              <w:rPr>
                <w:rFonts w:hint="eastAsia" w:ascii="微软雅黑" w:hAnsi="微软雅黑" w:eastAsia="微软雅黑" w:cs="微软雅黑"/>
                <w:sz w:val="22"/>
                <w:szCs w:val="22"/>
                <w:lang w:eastAsia="zh-CN"/>
              </w:rPr>
            </w:pPr>
          </w:p>
        </w:tc>
        <w:tc>
          <w:tcPr>
            <w:tcW w:w="1927" w:type="dxa"/>
            <w:vAlign w:val="top"/>
          </w:tcPr>
          <w:p>
            <w:pPr>
              <w:spacing w:line="257" w:lineRule="auto"/>
              <w:jc w:val="center"/>
              <w:rPr>
                <w:rFonts w:hint="eastAsia" w:ascii="微软雅黑" w:hAnsi="微软雅黑" w:eastAsia="微软雅黑" w:cs="微软雅黑"/>
                <w:sz w:val="22"/>
                <w:szCs w:val="22"/>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3"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01</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市场监管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建立事前事中事后全流程监管机</w:t>
            </w:r>
            <w:r>
              <w:rPr>
                <w:rFonts w:hint="eastAsia" w:ascii="微软雅黑" w:hAnsi="微软雅黑" w:eastAsia="微软雅黑" w:cs="微软雅黑"/>
                <w:sz w:val="22"/>
                <w:szCs w:val="22"/>
                <w:lang w:eastAsia="zh-CN"/>
              </w:rPr>
              <w:t>制</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制定任务清单，在消防安全、食品药品、环境保护、水土保持、医疗卫生等重点领域，分别确定重点监管事项、程序、对象，依据国家相关行业监管标准和信用监管规范研究制定本地区相适应的标准规范，构建全链条、全流程监管体系，提高监管效能。</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区市场监管局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区发改局，柳北生态环境局，区住建局、农业农村局、卫健局、应急局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7" w:hRule="atLeast"/>
        </w:trPr>
        <w:tc>
          <w:tcPr>
            <w:tcW w:w="715" w:type="dxa"/>
            <w:vAlign w:val="top"/>
          </w:tcPr>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02</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市场监管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探索柔性监管方</w:t>
            </w:r>
            <w:r>
              <w:rPr>
                <w:rFonts w:hint="eastAsia" w:ascii="微软雅黑" w:hAnsi="微软雅黑" w:eastAsia="微软雅黑" w:cs="微软雅黑"/>
                <w:sz w:val="22"/>
                <w:szCs w:val="22"/>
                <w:lang w:eastAsia="zh-CN"/>
              </w:rPr>
              <w:t>式</w:t>
            </w:r>
          </w:p>
        </w:tc>
        <w:tc>
          <w:tcPr>
            <w:tcW w:w="3262" w:type="dxa"/>
            <w:vAlign w:val="top"/>
          </w:tcPr>
          <w:p>
            <w:pPr>
              <w:spacing w:line="257" w:lineRule="auto"/>
              <w:rPr>
                <w:rFonts w:hint="eastAsia" w:ascii="微软雅黑" w:hAnsi="微软雅黑" w:eastAsia="微软雅黑" w:cs="微软雅黑"/>
                <w:sz w:val="22"/>
                <w:szCs w:val="22"/>
              </w:rPr>
            </w:pPr>
          </w:p>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探索柔性监管方式，完善免罚清单管理制度，拓展免罚事项范围。</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区市场监管局、发改局</w:t>
            </w:r>
            <w:r>
              <w:rPr>
                <w:rFonts w:hint="eastAsia" w:ascii="微软雅黑" w:hAnsi="微软雅黑" w:eastAsia="微软雅黑" w:cs="微软雅黑"/>
                <w:spacing w:val="0"/>
                <w:sz w:val="22"/>
                <w:szCs w:val="22"/>
                <w:lang w:eastAsia="zh-CN"/>
              </w:rPr>
              <w:t>按职责分工负责</w:t>
            </w:r>
          </w:p>
        </w:tc>
        <w:tc>
          <w:tcPr>
            <w:tcW w:w="1927"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区司法局、商务局，人民银行柳州市分行，各有关单位</w:t>
            </w:r>
          </w:p>
        </w:tc>
      </w:tr>
    </w:tbl>
    <w:p>
      <w:pPr>
        <w:spacing w:line="257" w:lineRule="auto"/>
        <w:rPr>
          <w:rFonts w:hint="eastAsia" w:ascii="微软雅黑" w:hAnsi="微软雅黑" w:eastAsia="微软雅黑" w:cs="微软雅黑"/>
          <w:sz w:val="22"/>
          <w:szCs w:val="22"/>
        </w:rPr>
        <w:sectPr>
          <w:footerReference r:id="rId33" w:type="default"/>
          <w:pgSz w:w="16838" w:h="11906"/>
          <w:pgMar w:top="400" w:right="2104" w:bottom="1510" w:left="2203"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4" w:hRule="atLeast"/>
        </w:trPr>
        <w:tc>
          <w:tcPr>
            <w:tcW w:w="715" w:type="dxa"/>
            <w:vAlign w:val="top"/>
          </w:tcPr>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03</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市场监管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建立企业信用状况综合评价体系</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建立公共信用信息同金融信息共享整合机制，全面推广信用承诺制度，建立企业信用状况综合评价体系。</w:t>
            </w:r>
          </w:p>
        </w:tc>
        <w:tc>
          <w:tcPr>
            <w:tcW w:w="1732" w:type="dxa"/>
            <w:vAlign w:val="top"/>
          </w:tcPr>
          <w:p>
            <w:pPr>
              <w:spacing w:line="257" w:lineRule="auto"/>
              <w:jc w:val="both"/>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both"/>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区发改局</w:t>
            </w:r>
          </w:p>
        </w:tc>
        <w:tc>
          <w:tcPr>
            <w:tcW w:w="1927" w:type="dxa"/>
            <w:vAlign w:val="top"/>
          </w:tcPr>
          <w:p>
            <w:pPr>
              <w:spacing w:line="257" w:lineRule="auto"/>
              <w:jc w:val="both"/>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区商务局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4"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04</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市场监管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梳理跨部门综合监管事项清单</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依托“互联网＋监管”系统，梳理本地区本部门监管政策文件目录、监管资源目录、跨部门综合监管事项，确保“一张清单”管监管。</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区市场监管局</w:t>
            </w:r>
          </w:p>
        </w:tc>
        <w:tc>
          <w:tcPr>
            <w:tcW w:w="1927"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具有监管职能的各有关部门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5"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05</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市场监管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推进跨部门综合监管建设</w:t>
            </w:r>
          </w:p>
        </w:tc>
        <w:tc>
          <w:tcPr>
            <w:tcW w:w="3262" w:type="dxa"/>
            <w:vAlign w:val="top"/>
          </w:tcPr>
          <w:p>
            <w:pPr>
              <w:spacing w:line="257" w:lineRule="auto"/>
              <w:rPr>
                <w:rFonts w:hint="eastAsia" w:ascii="微软雅黑" w:hAnsi="微软雅黑" w:eastAsia="微软雅黑" w:cs="微软雅黑"/>
                <w:sz w:val="22"/>
                <w:szCs w:val="22"/>
              </w:rPr>
            </w:pPr>
          </w:p>
          <w:p>
            <w:pPr>
              <w:spacing w:line="257" w:lineRule="auto"/>
              <w:rPr>
                <w:rFonts w:hint="eastAsia" w:ascii="微软雅黑" w:hAnsi="微软雅黑" w:eastAsia="微软雅黑" w:cs="微软雅黑"/>
                <w:sz w:val="22"/>
                <w:szCs w:val="22"/>
              </w:rPr>
            </w:pPr>
          </w:p>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依托“互联网＋监管”系统，按跨部门综合监管事项完成建设跨部门综合监管应用场景，完善监管事项清单管理、信息共享、监测预警、分析评估、证据互认、联合检查等相关功能。推动监管效能不断提升，保障高质量发展。</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区市场监管局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br w:type="textWrapping"/>
            </w:r>
            <w:r>
              <w:rPr>
                <w:rFonts w:hint="eastAsia" w:ascii="微软雅黑" w:hAnsi="微软雅黑" w:eastAsia="微软雅黑" w:cs="微软雅黑"/>
                <w:spacing w:val="0"/>
                <w:sz w:val="22"/>
                <w:szCs w:val="22"/>
                <w:lang w:eastAsia="zh-CN"/>
              </w:rPr>
              <w:br w:type="textWrapping"/>
            </w:r>
            <w:r>
              <w:rPr>
                <w:rFonts w:hint="eastAsia" w:ascii="微软雅黑" w:hAnsi="微软雅黑" w:eastAsia="微软雅黑" w:cs="微软雅黑"/>
                <w:spacing w:val="0"/>
                <w:sz w:val="22"/>
                <w:szCs w:val="22"/>
                <w:lang w:eastAsia="zh-CN"/>
              </w:rPr>
              <w:t>区市场监管局、交通运输局、区财政局，柳北生态环境局，区住建局、自然资源局、农业农村局、应急局、卫健局</w:t>
            </w:r>
          </w:p>
        </w:tc>
      </w:tr>
    </w:tbl>
    <w:p>
      <w:pPr>
        <w:spacing w:line="257" w:lineRule="auto"/>
        <w:rPr>
          <w:rFonts w:hint="eastAsia" w:ascii="微软雅黑" w:hAnsi="微软雅黑" w:eastAsia="微软雅黑" w:cs="微软雅黑"/>
          <w:sz w:val="22"/>
          <w:szCs w:val="22"/>
        </w:rPr>
        <w:sectPr>
          <w:footerReference r:id="rId34" w:type="default"/>
          <w:pgSz w:w="16838" w:h="11906"/>
          <w:pgMar w:top="400" w:right="2203" w:bottom="1514" w:left="2104"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3"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06</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市场监管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建立政府失信责任追究制度</w:t>
            </w:r>
          </w:p>
        </w:tc>
        <w:tc>
          <w:tcPr>
            <w:tcW w:w="3262" w:type="dxa"/>
            <w:vAlign w:val="top"/>
          </w:tcPr>
          <w:p>
            <w:pPr>
              <w:spacing w:line="257" w:lineRule="auto"/>
              <w:rPr>
                <w:rFonts w:hint="eastAsia" w:ascii="微软雅黑" w:hAnsi="微软雅黑" w:eastAsia="微软雅黑" w:cs="微软雅黑"/>
                <w:sz w:val="22"/>
                <w:szCs w:val="22"/>
              </w:rPr>
            </w:pPr>
          </w:p>
          <w:p>
            <w:pPr>
              <w:spacing w:line="257" w:lineRule="auto"/>
              <w:rPr>
                <w:rFonts w:hint="eastAsia" w:ascii="微软雅黑" w:hAnsi="微软雅黑" w:eastAsia="微软雅黑" w:cs="微软雅黑"/>
                <w:sz w:val="22"/>
                <w:szCs w:val="22"/>
              </w:rPr>
            </w:pPr>
          </w:p>
          <w:p>
            <w:pPr>
              <w:spacing w:line="257" w:lineRule="auto"/>
              <w:rPr>
                <w:rFonts w:hint="eastAsia" w:ascii="微软雅黑" w:hAnsi="微软雅黑" w:eastAsia="微软雅黑" w:cs="微软雅黑"/>
                <w:sz w:val="22"/>
                <w:szCs w:val="22"/>
              </w:rPr>
            </w:pPr>
          </w:p>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建立政府失信责任追究制度，成立专门工作小组，推动解决不兑现奖励和扶持政策、不及时拨付政府各类补助资金、不履行有效合同条款、久拖不决影响民营企业发展的历史遗留问题。</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区发改局</w:t>
            </w:r>
            <w:r>
              <w:rPr>
                <w:rFonts w:hint="eastAsia" w:ascii="微软雅黑" w:hAnsi="微软雅黑" w:eastAsia="微软雅黑" w:cs="微软雅黑"/>
                <w:spacing w:val="0"/>
                <w:sz w:val="22"/>
                <w:szCs w:val="22"/>
                <w:lang w:eastAsia="zh-CN"/>
              </w:rPr>
              <w:t>、财政局、投促局按职责分工负责</w:t>
            </w:r>
          </w:p>
        </w:tc>
        <w:tc>
          <w:tcPr>
            <w:tcW w:w="1927" w:type="dxa"/>
            <w:vAlign w:val="top"/>
          </w:tcPr>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br w:type="textWrapping"/>
            </w:r>
            <w:r>
              <w:rPr>
                <w:rFonts w:hint="eastAsia" w:ascii="微软雅黑" w:hAnsi="微软雅黑" w:eastAsia="微软雅黑" w:cs="微软雅黑"/>
                <w:spacing w:val="0"/>
                <w:sz w:val="22"/>
                <w:szCs w:val="22"/>
                <w:lang w:eastAsia="zh-CN"/>
              </w:rPr>
              <w:br w:type="textWrapping"/>
            </w: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br w:type="textWrapping"/>
            </w:r>
            <w:r>
              <w:rPr>
                <w:rFonts w:hint="eastAsia" w:ascii="微软雅黑" w:hAnsi="微软雅黑" w:eastAsia="微软雅黑" w:cs="微软雅黑"/>
                <w:spacing w:val="0"/>
                <w:sz w:val="22"/>
                <w:szCs w:val="22"/>
                <w:lang w:eastAsia="zh-CN"/>
              </w:rPr>
              <w:t>区工信局、自然资源局、住建局、商务局、市场监管局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5"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07</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市场监管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建立长效督导解决机制</w:t>
            </w:r>
          </w:p>
        </w:tc>
        <w:tc>
          <w:tcPr>
            <w:tcW w:w="3262" w:type="dxa"/>
            <w:vAlign w:val="top"/>
          </w:tcPr>
          <w:p>
            <w:pPr>
              <w:spacing w:line="257" w:lineRule="auto"/>
              <w:rPr>
                <w:rFonts w:hint="eastAsia" w:ascii="微软雅黑" w:hAnsi="微软雅黑" w:eastAsia="微软雅黑" w:cs="微软雅黑"/>
                <w:sz w:val="22"/>
                <w:szCs w:val="22"/>
              </w:rPr>
            </w:pPr>
          </w:p>
          <w:p>
            <w:pPr>
              <w:spacing w:line="257" w:lineRule="auto"/>
              <w:rPr>
                <w:rFonts w:hint="eastAsia" w:ascii="微软雅黑" w:hAnsi="微软雅黑" w:eastAsia="微软雅黑" w:cs="微软雅黑"/>
                <w:sz w:val="22"/>
                <w:szCs w:val="22"/>
              </w:rPr>
            </w:pPr>
          </w:p>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建立长效督导解决机制，对各级政府的营商环境服务对象、市场主体和群众投诉、反映的情况及时研究并推动解决，持续跟踪问效。</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区市场监管局、发改局、投促局按职</w:t>
            </w:r>
            <w:r>
              <w:rPr>
                <w:rFonts w:hint="eastAsia" w:ascii="微软雅黑" w:hAnsi="微软雅黑" w:eastAsia="微软雅黑" w:cs="微软雅黑"/>
                <w:spacing w:val="0"/>
                <w:sz w:val="22"/>
                <w:szCs w:val="22"/>
                <w:lang w:eastAsia="zh-CN"/>
              </w:rPr>
              <w:t>责分工负责</w:t>
            </w:r>
          </w:p>
        </w:tc>
        <w:tc>
          <w:tcPr>
            <w:tcW w:w="1927"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区自然资源局、住建局、商务局、财政局</w:t>
            </w:r>
            <w:r>
              <w:rPr>
                <w:rFonts w:hint="eastAsia" w:ascii="微软雅黑" w:hAnsi="微软雅黑" w:eastAsia="微软雅黑" w:cs="微软雅黑"/>
                <w:sz w:val="22"/>
                <w:szCs w:val="22"/>
                <w:lang w:eastAsia="zh-CN"/>
              </w:rPr>
              <w:t>，各有关单位</w:t>
            </w:r>
          </w:p>
        </w:tc>
      </w:tr>
    </w:tbl>
    <w:p>
      <w:pPr>
        <w:spacing w:line="257" w:lineRule="auto"/>
        <w:rPr>
          <w:rFonts w:hint="eastAsia" w:ascii="微软雅黑" w:hAnsi="微软雅黑" w:eastAsia="微软雅黑" w:cs="微软雅黑"/>
          <w:sz w:val="22"/>
          <w:szCs w:val="22"/>
        </w:rPr>
        <w:sectPr>
          <w:footerReference r:id="rId35" w:type="default"/>
          <w:pgSz w:w="16838" w:h="11906"/>
          <w:pgMar w:top="400" w:right="2104" w:bottom="1514" w:left="2203"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3"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08</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市场监管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开展治理“新官不理旧账”专项行动</w:t>
            </w:r>
          </w:p>
        </w:tc>
        <w:tc>
          <w:tcPr>
            <w:tcW w:w="3262" w:type="dxa"/>
            <w:vAlign w:val="top"/>
          </w:tcPr>
          <w:p>
            <w:pPr>
              <w:spacing w:line="257" w:lineRule="auto"/>
              <w:rPr>
                <w:rFonts w:hint="eastAsia" w:ascii="微软雅黑" w:hAnsi="微软雅黑" w:eastAsia="微软雅黑" w:cs="微软雅黑"/>
                <w:sz w:val="22"/>
                <w:szCs w:val="22"/>
              </w:rPr>
            </w:pPr>
          </w:p>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将全市各级各部门在招商引资中依法依规出台的优惠政策以及兑现承诺、履行合同协议等情况作为政务诚信重要考核依据，并纳入绩效考评。</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区投资促进局、发改局、市场监管局按职</w:t>
            </w:r>
            <w:r>
              <w:rPr>
                <w:rFonts w:hint="eastAsia" w:ascii="微软雅黑" w:hAnsi="微软雅黑" w:eastAsia="微软雅黑" w:cs="微软雅黑"/>
                <w:spacing w:val="0"/>
                <w:sz w:val="22"/>
                <w:szCs w:val="22"/>
                <w:lang w:eastAsia="zh-CN"/>
              </w:rPr>
              <w:t>责分工负责</w:t>
            </w:r>
          </w:p>
        </w:tc>
        <w:tc>
          <w:tcPr>
            <w:tcW w:w="1927" w:type="dxa"/>
            <w:vAlign w:val="top"/>
          </w:tcPr>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br w:type="textWrapping"/>
            </w:r>
            <w:r>
              <w:rPr>
                <w:rFonts w:hint="eastAsia" w:ascii="微软雅黑" w:hAnsi="微软雅黑" w:eastAsia="微软雅黑" w:cs="微软雅黑"/>
                <w:spacing w:val="0"/>
                <w:sz w:val="22"/>
                <w:szCs w:val="22"/>
                <w:lang w:eastAsia="zh-CN"/>
              </w:rPr>
              <w:t>区督查绩效办、商务局、财政局、外事办，各有关单位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4"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09</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政务</w:t>
            </w:r>
            <w:r>
              <w:rPr>
                <w:rFonts w:hint="eastAsia" w:ascii="微软雅黑" w:hAnsi="微软雅黑" w:eastAsia="微软雅黑" w:cs="微软雅黑"/>
                <w:spacing w:val="0"/>
                <w:sz w:val="22"/>
                <w:szCs w:val="22"/>
                <w:lang w:eastAsia="zh-CN"/>
              </w:rPr>
              <w:t>服务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进一步提升政务服务大厅服务效</w:t>
            </w:r>
            <w:r>
              <w:rPr>
                <w:rFonts w:hint="eastAsia" w:ascii="微软雅黑" w:hAnsi="微软雅黑" w:eastAsia="微软雅黑" w:cs="微软雅黑"/>
                <w:sz w:val="22"/>
                <w:szCs w:val="22"/>
                <w:lang w:eastAsia="zh-CN"/>
              </w:rPr>
              <w:t>能</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开展全市各级政务服务标杆大厅等级评定，充分发挥先进典型的示范引领作用，以评促优，全面提升柳州政务服务大厅建设管理水平和政务服务标准化规范化便利化水平</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区政管办</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6"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10</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政务</w:t>
            </w:r>
            <w:r>
              <w:rPr>
                <w:rFonts w:hint="eastAsia" w:ascii="微软雅黑" w:hAnsi="微软雅黑" w:eastAsia="微软雅黑" w:cs="微软雅黑"/>
                <w:spacing w:val="0"/>
                <w:sz w:val="22"/>
                <w:szCs w:val="22"/>
                <w:lang w:eastAsia="zh-CN"/>
              </w:rPr>
              <w:t>服务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优化在线帮办服</w:t>
            </w:r>
            <w:r>
              <w:rPr>
                <w:rFonts w:hint="eastAsia" w:ascii="微软雅黑" w:hAnsi="微软雅黑" w:eastAsia="微软雅黑" w:cs="微软雅黑"/>
                <w:sz w:val="22"/>
                <w:szCs w:val="22"/>
                <w:lang w:eastAsia="zh-CN"/>
              </w:rPr>
              <w:t>务</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推进政务服务供给与需求精准对接，实现免材料类政务服务事项“一号快办”，为公众提供便捷的“点单”式政务“外卖”。</w:t>
            </w:r>
            <w:r>
              <w:rPr>
                <w:rFonts w:hint="eastAsia" w:ascii="微软雅黑" w:hAnsi="微软雅黑" w:eastAsia="微软雅黑" w:cs="微软雅黑"/>
                <w:b w:val="0"/>
                <w:bCs w:val="0"/>
                <w:color w:val="000000"/>
                <w:kern w:val="0"/>
                <w:sz w:val="22"/>
                <w:szCs w:val="22"/>
                <w:lang w:val="en-US" w:eastAsia="zh-CN"/>
              </w:rPr>
              <w:t>配合上级12345热线中心建立健全‘优化营商环境’专线工作机制，快速处置市场主体诉求</w:t>
            </w:r>
            <w:r>
              <w:rPr>
                <w:rFonts w:hint="eastAsia" w:ascii="微软雅黑" w:hAnsi="微软雅黑" w:eastAsia="微软雅黑" w:cs="微软雅黑"/>
                <w:spacing w:val="0"/>
                <w:sz w:val="22"/>
                <w:szCs w:val="22"/>
              </w:rPr>
              <w:t>。</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区政务网络服务中心</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br w:type="textWrapping"/>
            </w: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各有关单位</w:t>
            </w:r>
          </w:p>
        </w:tc>
      </w:tr>
    </w:tbl>
    <w:p>
      <w:pPr>
        <w:spacing w:line="257" w:lineRule="auto"/>
        <w:rPr>
          <w:rFonts w:hint="eastAsia" w:ascii="微软雅黑" w:hAnsi="微软雅黑" w:eastAsia="微软雅黑" w:cs="微软雅黑"/>
          <w:sz w:val="22"/>
          <w:szCs w:val="22"/>
        </w:rPr>
        <w:sectPr>
          <w:footerReference r:id="rId36" w:type="default"/>
          <w:pgSz w:w="16838" w:h="11906"/>
          <w:pgMar w:top="400" w:right="2203" w:bottom="1514" w:left="2104"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1"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11</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政务</w:t>
            </w:r>
            <w:r>
              <w:rPr>
                <w:rFonts w:hint="eastAsia" w:ascii="微软雅黑" w:hAnsi="微软雅黑" w:eastAsia="微软雅黑" w:cs="微软雅黑"/>
                <w:spacing w:val="0"/>
                <w:sz w:val="22"/>
                <w:szCs w:val="22"/>
                <w:lang w:eastAsia="zh-CN"/>
              </w:rPr>
              <w:t>服务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推进客货运输电子证照跨区域互</w:t>
            </w:r>
            <w:r>
              <w:rPr>
                <w:rFonts w:hint="eastAsia" w:ascii="微软雅黑" w:hAnsi="微软雅黑" w:eastAsia="微软雅黑" w:cs="微软雅黑"/>
                <w:sz w:val="22"/>
                <w:szCs w:val="22"/>
                <w:lang w:eastAsia="zh-CN"/>
              </w:rPr>
              <w:t>认与核验</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配合</w:t>
            </w:r>
            <w:r>
              <w:rPr>
                <w:rFonts w:hint="eastAsia" w:ascii="微软雅黑" w:hAnsi="微软雅黑" w:eastAsia="微软雅黑" w:cs="微软雅黑"/>
                <w:spacing w:val="0"/>
                <w:sz w:val="22"/>
                <w:szCs w:val="22"/>
                <w:lang w:eastAsia="zh-CN"/>
              </w:rPr>
              <w:t>柳州市</w:t>
            </w:r>
            <w:r>
              <w:rPr>
                <w:rFonts w:hint="eastAsia" w:ascii="微软雅黑" w:hAnsi="微软雅黑" w:eastAsia="微软雅黑" w:cs="微软雅黑"/>
                <w:spacing w:val="0"/>
                <w:sz w:val="22"/>
                <w:szCs w:val="22"/>
              </w:rPr>
              <w:t>强化与部级电子证照系统的联网运行维护，为道路运输从业人员从业资格证、巡游出租汽车驾驶员证、网络预约出租汽车驾驶员证、道路运输经营许可证、网络预约出租汽车经营许可证、道路危险货物运输许可证、放射性物品道路运输许可证、道路运输证、网络预约出租汽车运输证等9类广西道路运输电子证照在全国范围内交互共享提供支撑，促进跨地区、跨部门互信互认；配合</w:t>
            </w:r>
            <w:r>
              <w:rPr>
                <w:rFonts w:hint="eastAsia" w:ascii="微软雅黑" w:hAnsi="微软雅黑" w:eastAsia="微软雅黑" w:cs="微软雅黑"/>
                <w:spacing w:val="0"/>
                <w:sz w:val="22"/>
                <w:szCs w:val="22"/>
                <w:lang w:eastAsia="zh-CN"/>
              </w:rPr>
              <w:t>柳州市</w:t>
            </w:r>
            <w:r>
              <w:rPr>
                <w:rFonts w:hint="eastAsia" w:ascii="微软雅黑" w:hAnsi="微软雅黑" w:eastAsia="微软雅黑" w:cs="微软雅黑"/>
                <w:spacing w:val="0"/>
                <w:sz w:val="22"/>
                <w:szCs w:val="22"/>
              </w:rPr>
              <w:t>推动港口经营许可证、港口危险货物作业附证等电子证照全区互认。配合</w:t>
            </w:r>
            <w:r>
              <w:rPr>
                <w:rFonts w:hint="eastAsia" w:ascii="微软雅黑" w:hAnsi="微软雅黑" w:eastAsia="微软雅黑" w:cs="微软雅黑"/>
                <w:spacing w:val="0"/>
                <w:sz w:val="22"/>
                <w:szCs w:val="22"/>
                <w:lang w:eastAsia="zh-CN"/>
              </w:rPr>
              <w:t>柳州市</w:t>
            </w:r>
            <w:r>
              <w:rPr>
                <w:rFonts w:hint="eastAsia" w:ascii="微软雅黑" w:hAnsi="微软雅黑" w:eastAsia="微软雅黑" w:cs="微软雅黑"/>
                <w:spacing w:val="0"/>
                <w:sz w:val="22"/>
                <w:szCs w:val="22"/>
              </w:rPr>
              <w:t>加强与国家系统对接联网以及其他系统业务协同，确保相关电子证照跨区域互信互认与真实性核验。</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区政务网络服务中心、交通运输局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市公安局柳北分局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7"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12</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政务</w:t>
            </w:r>
            <w:r>
              <w:rPr>
                <w:rFonts w:hint="eastAsia" w:ascii="微软雅黑" w:hAnsi="微软雅黑" w:eastAsia="微软雅黑" w:cs="微软雅黑"/>
                <w:spacing w:val="0"/>
                <w:sz w:val="22"/>
                <w:szCs w:val="22"/>
                <w:lang w:eastAsia="zh-CN"/>
              </w:rPr>
              <w:t>服务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开展涉企审批服务“一照通行”试</w:t>
            </w:r>
            <w:r>
              <w:rPr>
                <w:rFonts w:hint="eastAsia" w:ascii="微软雅黑" w:hAnsi="微软雅黑" w:eastAsia="微软雅黑" w:cs="微软雅黑"/>
                <w:sz w:val="22"/>
                <w:szCs w:val="22"/>
                <w:lang w:eastAsia="zh-CN"/>
              </w:rPr>
              <w:t>点</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在设立娱乐场所审批等领域率先试点，再造涉企审批服务模式，将多业态经营涉及的多项许可事项与营业执照一次申请、并联审批，并通过营业执照归集各类许可信息，减少审批发证，推进电子证照应用，实现“一照通行”。搭建“一照通行”涉企审批服务平台，对接各审批部门业务审批系统，提供审批事项动态组合配置、智能交互指引、表单自动生成、数据自动填充等服务，实现跨领域、跨部门、跨层级、多</w:t>
            </w:r>
            <w:r>
              <w:rPr>
                <w:rFonts w:hint="eastAsia" w:ascii="微软雅黑" w:hAnsi="微软雅黑" w:eastAsia="微软雅黑" w:cs="微软雅黑"/>
                <w:sz w:val="22"/>
                <w:szCs w:val="22"/>
              </w:rPr>
              <w:t>事项一表申请、一表办理。</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区市场监管局、政管办</w:t>
            </w:r>
            <w:r>
              <w:rPr>
                <w:rFonts w:hint="eastAsia" w:ascii="微软雅黑" w:hAnsi="微软雅黑" w:eastAsia="微软雅黑" w:cs="微软雅黑"/>
                <w:spacing w:val="0"/>
                <w:sz w:val="22"/>
                <w:szCs w:val="22"/>
                <w:lang w:eastAsia="zh-CN"/>
              </w:rPr>
              <w:t>按职责分工负责</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区政务网络服务中心，各涉企审批事项职能部门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7"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13</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w w:val="100"/>
                <w:sz w:val="22"/>
                <w:szCs w:val="22"/>
                <w:lang w:eastAsia="zh-CN"/>
              </w:rPr>
            </w:pPr>
            <w:r>
              <w:rPr>
                <w:rFonts w:hint="eastAsia" w:ascii="微软雅黑" w:hAnsi="微软雅黑" w:eastAsia="微软雅黑" w:cs="微软雅黑"/>
                <w:spacing w:val="0"/>
                <w:w w:val="100"/>
                <w:sz w:val="22"/>
                <w:szCs w:val="22"/>
                <w:lang w:eastAsia="zh-CN"/>
              </w:rPr>
              <w:t>政务</w:t>
            </w:r>
            <w:r>
              <w:rPr>
                <w:rFonts w:hint="eastAsia" w:ascii="微软雅黑" w:hAnsi="微软雅黑" w:eastAsia="微软雅黑" w:cs="微软雅黑"/>
                <w:spacing w:val="0"/>
                <w:sz w:val="22"/>
                <w:szCs w:val="22"/>
                <w:lang w:eastAsia="zh-CN"/>
              </w:rPr>
              <w:t>服务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推进政务服务清单标准化</w:t>
            </w:r>
          </w:p>
        </w:tc>
        <w:tc>
          <w:tcPr>
            <w:tcW w:w="3262" w:type="dxa"/>
            <w:vAlign w:val="top"/>
          </w:tcPr>
          <w:p>
            <w:pPr>
              <w:spacing w:line="257" w:lineRule="auto"/>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根据</w:t>
            </w:r>
            <w:r>
              <w:rPr>
                <w:rFonts w:hint="eastAsia" w:ascii="微软雅黑" w:hAnsi="微软雅黑" w:eastAsia="微软雅黑" w:cs="微软雅黑"/>
                <w:spacing w:val="0"/>
                <w:sz w:val="22"/>
                <w:szCs w:val="22"/>
                <w:lang w:eastAsia="zh-CN"/>
              </w:rPr>
              <w:t>柳州市</w:t>
            </w:r>
            <w:r>
              <w:rPr>
                <w:rFonts w:hint="eastAsia" w:ascii="微软雅黑" w:hAnsi="微软雅黑" w:eastAsia="微软雅黑" w:cs="微软雅黑"/>
                <w:spacing w:val="0"/>
                <w:sz w:val="22"/>
                <w:szCs w:val="22"/>
              </w:rPr>
              <w:t>工作部署，动态调整柳州市政务服务事项基本目录、实施清单、办事指南，健全“一张清单管到底”工作机制，持续推进政务服务标准化创新发展。配合</w:t>
            </w:r>
            <w:r>
              <w:rPr>
                <w:rFonts w:hint="eastAsia" w:ascii="微软雅黑" w:hAnsi="微软雅黑" w:eastAsia="微软雅黑" w:cs="微软雅黑"/>
                <w:spacing w:val="0"/>
                <w:sz w:val="22"/>
                <w:szCs w:val="22"/>
                <w:lang w:eastAsia="zh-CN"/>
              </w:rPr>
              <w:t>柳州市</w:t>
            </w:r>
            <w:r>
              <w:rPr>
                <w:rFonts w:hint="eastAsia" w:ascii="微软雅黑" w:hAnsi="微软雅黑" w:eastAsia="微软雅黑" w:cs="微软雅黑"/>
                <w:spacing w:val="0"/>
                <w:sz w:val="22"/>
                <w:szCs w:val="22"/>
              </w:rPr>
              <w:t>完成分批分领域编制公布各级政务服务事项基本目录，实现基本要素市、县、乡、村四级统一。</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w w:val="100"/>
                <w:sz w:val="22"/>
                <w:szCs w:val="22"/>
                <w:lang w:eastAsia="zh-CN"/>
              </w:rPr>
            </w:pPr>
            <w:r>
              <w:rPr>
                <w:rFonts w:hint="eastAsia" w:ascii="微软雅黑" w:hAnsi="微软雅黑" w:eastAsia="微软雅黑" w:cs="微软雅黑"/>
                <w:spacing w:val="0"/>
                <w:sz w:val="22"/>
                <w:szCs w:val="22"/>
                <w:lang w:eastAsia="zh-CN"/>
              </w:rPr>
              <w:t>区政管办，具有政务服务事项的相关部门按职责分工负责</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各镇、街道</w:t>
            </w:r>
          </w:p>
        </w:tc>
      </w:tr>
    </w:tbl>
    <w:p>
      <w:pPr>
        <w:spacing w:line="257" w:lineRule="auto"/>
        <w:rPr>
          <w:rFonts w:hint="eastAsia" w:ascii="微软雅黑" w:hAnsi="微软雅黑" w:eastAsia="微软雅黑" w:cs="微软雅黑"/>
          <w:sz w:val="22"/>
          <w:szCs w:val="22"/>
        </w:rPr>
      </w:pPr>
    </w:p>
    <w:p>
      <w:pPr>
        <w:spacing w:line="257" w:lineRule="auto"/>
        <w:rPr>
          <w:rFonts w:hint="eastAsia" w:ascii="微软雅黑" w:hAnsi="微软雅黑" w:eastAsia="微软雅黑" w:cs="微软雅黑"/>
          <w:sz w:val="22"/>
          <w:szCs w:val="22"/>
        </w:rPr>
        <w:sectPr>
          <w:footerReference r:id="rId37" w:type="default"/>
          <w:pgSz w:w="16838" w:h="11906"/>
          <w:pgMar w:top="400" w:right="2104" w:bottom="1514" w:left="2203"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2"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14</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政务</w:t>
            </w:r>
            <w:r>
              <w:rPr>
                <w:rFonts w:hint="eastAsia" w:ascii="微软雅黑" w:hAnsi="微软雅黑" w:eastAsia="微软雅黑" w:cs="微软雅黑"/>
                <w:spacing w:val="0"/>
                <w:sz w:val="22"/>
                <w:szCs w:val="22"/>
                <w:lang w:eastAsia="zh-CN"/>
              </w:rPr>
              <w:t>服务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推进政务服务事项向基层延伸</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切实加强市、县、乡、村四级政务服务中心（站）标准化建设。推动市场监督、公安、税务等县级派驻机构事项及与群众生活密切相关的公共服务事项进驻基层政务服务中心，开展“政银合作”“政邮合作”“政企合作”，编制各类合作线上线下指导目录清单。优化整合公安、税务、不动产、公积金、社保、医保、水电气、银行等自助服务功能，推动更多集成式自助服务终端向乡、村、园区、商场、楼宇和邮政、银行网点等场所延伸。</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区政管办、医保局，市公安局柳北分局，柳北税务局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各有关单位</w:t>
            </w:r>
          </w:p>
        </w:tc>
      </w:tr>
    </w:tbl>
    <w:p>
      <w:pPr>
        <w:spacing w:line="257" w:lineRule="auto"/>
        <w:rPr>
          <w:rFonts w:hint="eastAsia" w:ascii="微软雅黑" w:hAnsi="微软雅黑" w:eastAsia="微软雅黑" w:cs="微软雅黑"/>
          <w:sz w:val="22"/>
          <w:szCs w:val="22"/>
        </w:rPr>
        <w:sectPr>
          <w:footerReference r:id="rId38" w:type="default"/>
          <w:pgSz w:w="16838" w:h="11906"/>
          <w:pgMar w:top="400" w:right="2203" w:bottom="1514" w:left="2104"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1"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15</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政务</w:t>
            </w:r>
            <w:r>
              <w:rPr>
                <w:rFonts w:hint="eastAsia" w:ascii="微软雅黑" w:hAnsi="微软雅黑" w:eastAsia="微软雅黑" w:cs="微软雅黑"/>
                <w:spacing w:val="0"/>
                <w:sz w:val="22"/>
                <w:szCs w:val="22"/>
                <w:lang w:eastAsia="zh-CN"/>
              </w:rPr>
              <w:t>服务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加强四级帮代办服务体系建设</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加强市、县、乡、村四级帮代办服务体系建设。持续深化以企业服务为主体的“一企来办”联通联办机制，加大对重要产业、重大项目、重点企业的服务力度。进一步增强帮代办人员力量，加强业务知识培训，完善考核激励和创新机制，不断提升帮代办服务水平。进一步推进线下大厅帮代办专区建设，梳理优化大厅帮代办服务事项目录清单，通过即帮即办、全程帮办、提前预办、特事特办等形式，推动帮代办多元化服务，打响“店小二”帮代办服务品牌。</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区政管办，各镇、街道</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各有关单位</w:t>
            </w:r>
          </w:p>
        </w:tc>
      </w:tr>
    </w:tbl>
    <w:p>
      <w:pPr>
        <w:spacing w:line="257" w:lineRule="auto"/>
        <w:rPr>
          <w:rFonts w:hint="eastAsia" w:ascii="微软雅黑" w:hAnsi="微软雅黑" w:eastAsia="微软雅黑" w:cs="微软雅黑"/>
          <w:sz w:val="22"/>
          <w:szCs w:val="22"/>
        </w:rPr>
        <w:sectPr>
          <w:footerReference r:id="rId39" w:type="default"/>
          <w:pgSz w:w="16838" w:h="11906"/>
          <w:pgMar w:top="400" w:right="2104" w:bottom="1514" w:left="2203"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2"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16</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政务</w:t>
            </w:r>
            <w:r>
              <w:rPr>
                <w:rFonts w:hint="eastAsia" w:ascii="微软雅黑" w:hAnsi="微软雅黑" w:eastAsia="微软雅黑" w:cs="微软雅黑"/>
                <w:spacing w:val="0"/>
                <w:sz w:val="22"/>
                <w:szCs w:val="22"/>
                <w:lang w:eastAsia="zh-CN"/>
              </w:rPr>
              <w:t>服务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实现电子文件在审批部门间共享</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依托广西数字政务一体化平台，归集项目信息、办理过程信息、审批结果等数据，将审批过程中产生的各类批复、证照等同步生成电子文件，并将其纳入电子证照库管理。企业群众申报审批事项时，对于申请材料中包含各审批部门投资审批事项办理结果的，可直接从电子证照库中获取办理结果电子材料，既方便企业群众无需重复上传申报，也实现电子文件在审批部门间及时准确共享。</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区政务网络服务中心</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各涉企审批事项职能部门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6"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17</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政务</w:t>
            </w:r>
            <w:r>
              <w:rPr>
                <w:rFonts w:hint="eastAsia" w:ascii="微软雅黑" w:hAnsi="微软雅黑" w:eastAsia="微软雅黑" w:cs="微软雅黑"/>
                <w:spacing w:val="0"/>
                <w:sz w:val="22"/>
                <w:szCs w:val="22"/>
                <w:lang w:eastAsia="zh-CN"/>
              </w:rPr>
              <w:t>服务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加强涉企信用信息共享整合，深化大数据应用</w:t>
            </w:r>
          </w:p>
        </w:tc>
        <w:tc>
          <w:tcPr>
            <w:tcW w:w="3262" w:type="dxa"/>
            <w:vAlign w:val="top"/>
          </w:tcPr>
          <w:p>
            <w:pPr>
              <w:spacing w:line="257" w:lineRule="auto"/>
              <w:rPr>
                <w:rFonts w:hint="eastAsia" w:ascii="微软雅黑" w:hAnsi="微软雅黑" w:eastAsia="微软雅黑" w:cs="微软雅黑"/>
                <w:sz w:val="22"/>
                <w:szCs w:val="22"/>
              </w:rPr>
            </w:pPr>
          </w:p>
          <w:p>
            <w:pPr>
              <w:spacing w:line="257" w:lineRule="auto"/>
              <w:rPr>
                <w:rFonts w:hint="eastAsia" w:ascii="微软雅黑" w:hAnsi="微软雅黑" w:eastAsia="微软雅黑" w:cs="微软雅黑"/>
                <w:sz w:val="22"/>
                <w:szCs w:val="22"/>
              </w:rPr>
            </w:pPr>
          </w:p>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加强部门数据互通共享机制建设，政府部门或金融机构能提供的相关数据，尽量避免让企业提供，减少企业助企惠企系列政策申报难度。</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区市场监管局，助企惠企相关行业主管部门按职责分工负</w:t>
            </w:r>
            <w:r>
              <w:rPr>
                <w:rFonts w:hint="eastAsia" w:ascii="微软雅黑" w:hAnsi="微软雅黑" w:eastAsia="微软雅黑" w:cs="微软雅黑"/>
                <w:sz w:val="22"/>
                <w:szCs w:val="22"/>
                <w:lang w:eastAsia="zh-CN"/>
              </w:rPr>
              <w:t>责</w:t>
            </w:r>
          </w:p>
        </w:tc>
        <w:tc>
          <w:tcPr>
            <w:tcW w:w="1927" w:type="dxa"/>
            <w:vAlign w:val="top"/>
          </w:tcPr>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br w:type="textWrapping"/>
            </w:r>
            <w:r>
              <w:rPr>
                <w:rFonts w:hint="eastAsia" w:ascii="微软雅黑" w:hAnsi="微软雅黑" w:eastAsia="微软雅黑" w:cs="微软雅黑"/>
                <w:spacing w:val="0"/>
                <w:w w:val="100"/>
                <w:sz w:val="22"/>
                <w:szCs w:val="22"/>
                <w:lang w:eastAsia="zh-CN"/>
              </w:rPr>
              <w:t>区发改局、政管办、市公安局柳北分局</w:t>
            </w:r>
            <w:r>
              <w:rPr>
                <w:rFonts w:hint="eastAsia" w:ascii="微软雅黑" w:hAnsi="微软雅黑" w:eastAsia="微软雅黑" w:cs="微软雅黑"/>
                <w:spacing w:val="0"/>
                <w:sz w:val="22"/>
                <w:szCs w:val="22"/>
                <w:lang w:eastAsia="zh-CN"/>
              </w:rPr>
              <w:t>、人社局、工信局、商务局、</w:t>
            </w:r>
            <w:r>
              <w:rPr>
                <w:rFonts w:hint="eastAsia" w:ascii="微软雅黑" w:hAnsi="微软雅黑" w:eastAsia="微软雅黑" w:cs="微软雅黑"/>
                <w:spacing w:val="0"/>
                <w:w w:val="100"/>
                <w:sz w:val="22"/>
                <w:szCs w:val="22"/>
                <w:lang w:eastAsia="zh-CN"/>
              </w:rPr>
              <w:t>财政局</w:t>
            </w:r>
            <w:r>
              <w:rPr>
                <w:rFonts w:hint="eastAsia" w:ascii="微软雅黑" w:hAnsi="微软雅黑" w:eastAsia="微软雅黑" w:cs="微软雅黑"/>
                <w:spacing w:val="0"/>
                <w:sz w:val="22"/>
                <w:szCs w:val="22"/>
                <w:lang w:eastAsia="zh-CN"/>
              </w:rPr>
              <w:t>，柳北税务局，柳州供电局柳北分局</w:t>
            </w:r>
          </w:p>
        </w:tc>
      </w:tr>
    </w:tbl>
    <w:p>
      <w:pPr>
        <w:spacing w:before="0" w:line="257" w:lineRule="auto"/>
        <w:rPr>
          <w:rFonts w:hint="eastAsia" w:ascii="微软雅黑" w:hAnsi="微软雅黑" w:eastAsia="微软雅黑" w:cs="微软雅黑"/>
          <w:sz w:val="22"/>
          <w:szCs w:val="22"/>
        </w:rPr>
      </w:pPr>
    </w:p>
    <w:tbl>
      <w:tblPr>
        <w:tblStyle w:val="8"/>
        <w:tblW w:w="12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3" w:hRule="atLeast"/>
        </w:trPr>
        <w:tc>
          <w:tcPr>
            <w:tcW w:w="71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18</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政务</w:t>
            </w:r>
            <w:r>
              <w:rPr>
                <w:rFonts w:hint="eastAsia" w:ascii="微软雅黑" w:hAnsi="微软雅黑" w:eastAsia="微软雅黑" w:cs="微软雅黑"/>
                <w:spacing w:val="0"/>
                <w:sz w:val="22"/>
                <w:szCs w:val="22"/>
                <w:lang w:eastAsia="zh-CN"/>
              </w:rPr>
              <w:t>服务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进一步推动惠企政策落实</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惠企政策直达快享，通过数据共享、流程再造、机制创新打造政策直达应用场景，将惠企政策分类为免申即享类、即申即享类和快审快兑三种兑现方式。打通亩均税收、市财政支付系统、信用监管等系统数据，对即申即享政策全面实行预拨款制，加快惠企业政策兑现。依托广西数字政务一体化平台，利用大数据、人工智能等技术，完善“一企一档”功能，对企业进行分类“画像”，实现惠企政策精准匹配、快速直达、一键兑现。将相关涉企政策</w:t>
            </w:r>
            <w:r>
              <w:rPr>
                <w:rFonts w:hint="eastAsia" w:ascii="微软雅黑" w:hAnsi="微软雅黑" w:eastAsia="微软雅黑" w:cs="微软雅黑"/>
                <w:sz w:val="22"/>
                <w:szCs w:val="22"/>
              </w:rPr>
              <w:t>快速精准有效推送到目标企业，</w:t>
            </w:r>
            <w:r>
              <w:rPr>
                <w:rFonts w:hint="eastAsia" w:ascii="微软雅黑" w:hAnsi="微软雅黑" w:eastAsia="微软雅黑" w:cs="微软雅黑"/>
                <w:spacing w:val="0"/>
                <w:sz w:val="22"/>
                <w:szCs w:val="22"/>
              </w:rPr>
              <w:t>新增应享未享提醒功能，有效解决各级支持企业政策出台后“企</w:t>
            </w:r>
            <w:r>
              <w:rPr>
                <w:rFonts w:hint="eastAsia" w:ascii="微软雅黑" w:hAnsi="微软雅黑" w:eastAsia="微软雅黑" w:cs="微软雅黑"/>
                <w:spacing w:val="0"/>
                <w:w w:val="100"/>
                <w:sz w:val="22"/>
                <w:szCs w:val="22"/>
              </w:rPr>
              <w:t>业找不到、政府送不到”的问题。</w:t>
            </w:r>
            <w:r>
              <w:rPr>
                <w:rFonts w:hint="eastAsia" w:ascii="微软雅黑" w:hAnsi="微软雅黑" w:eastAsia="微软雅黑" w:cs="微软雅黑"/>
                <w:spacing w:val="0"/>
                <w:sz w:val="22"/>
                <w:szCs w:val="22"/>
              </w:rPr>
              <w:t>推动实现全业务网上申报，企业、单位可在线上提交申报材料，完成线上审核流程，做到足不出户申领补贴，推动“助企惠企”政策快速兑现。</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区发改局、财</w:t>
            </w:r>
            <w:r>
              <w:rPr>
                <w:rFonts w:hint="eastAsia" w:ascii="微软雅黑" w:hAnsi="微软雅黑" w:eastAsia="微软雅黑" w:cs="微软雅黑"/>
                <w:spacing w:val="0"/>
                <w:sz w:val="22"/>
                <w:szCs w:val="22"/>
                <w:lang w:eastAsia="zh-CN"/>
              </w:rPr>
              <w:t>政局按职责分工负责</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区发改局、市公安局柳北分局、人社局、工信局、商务局、市场监管局，柳北税务局，柳州供电局柳北分局，各有关单位</w:t>
            </w:r>
          </w:p>
        </w:tc>
      </w:tr>
    </w:tbl>
    <w:p>
      <w:pPr>
        <w:spacing w:line="257" w:lineRule="auto"/>
        <w:rPr>
          <w:rFonts w:hint="eastAsia" w:ascii="微软雅黑" w:hAnsi="微软雅黑" w:eastAsia="微软雅黑" w:cs="微软雅黑"/>
          <w:sz w:val="22"/>
          <w:szCs w:val="22"/>
        </w:rPr>
        <w:sectPr>
          <w:footerReference r:id="rId40" w:type="default"/>
          <w:pgSz w:w="16838" w:h="11906"/>
          <w:pgMar w:top="400" w:right="2104" w:bottom="1514" w:left="2203"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2"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19</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政务</w:t>
            </w:r>
            <w:r>
              <w:rPr>
                <w:rFonts w:hint="eastAsia" w:ascii="微软雅黑" w:hAnsi="微软雅黑" w:eastAsia="微软雅黑" w:cs="微软雅黑"/>
                <w:spacing w:val="0"/>
                <w:sz w:val="22"/>
                <w:szCs w:val="22"/>
                <w:lang w:eastAsia="zh-CN"/>
              </w:rPr>
              <w:t>服务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简化证明事项</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深化拓展证明事项告知承诺制，强化政府部门间数据共享。深入落实证明事项告知承诺制适用对象事先信用核查。加强告知承诺事中事后核查，根据证明事项特点实行分类核查，对无法通过数据共享核查相关证明事项信息的，行政机关可采取上门调查、实地核查等方式进行核验。进一步完善虚假承诺信用惩戒机制，对作出不实承诺的，依法终止办理、责令限期整改、撤销行政决定或者予以行政处罚，并纳入信用记录。</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区司法局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区发改局、政管办，具有行政许可职能的部门，各有关单位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3" w:hRule="atLeast"/>
        </w:trPr>
        <w:tc>
          <w:tcPr>
            <w:tcW w:w="715" w:type="dxa"/>
            <w:vAlign w:val="top"/>
          </w:tcPr>
          <w:p>
            <w:pPr>
              <w:spacing w:line="257" w:lineRule="auto"/>
              <w:ind w:firstLine="0" w:firstLineChars="0"/>
              <w:jc w:val="both"/>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20</w:t>
            </w:r>
          </w:p>
        </w:tc>
        <w:tc>
          <w:tcPr>
            <w:tcW w:w="875" w:type="dxa"/>
            <w:vAlign w:val="top"/>
          </w:tcPr>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政务</w:t>
            </w:r>
            <w:r>
              <w:rPr>
                <w:rFonts w:hint="eastAsia" w:ascii="微软雅黑" w:hAnsi="微软雅黑" w:eastAsia="微软雅黑" w:cs="微软雅黑"/>
                <w:spacing w:val="0"/>
                <w:sz w:val="22"/>
                <w:szCs w:val="22"/>
                <w:lang w:eastAsia="zh-CN"/>
              </w:rPr>
              <w:t>服务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持续提升中介服务水平</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进一步清理规范没有法律法规、国务院决定依据的行政许可中介服务事项。根据</w:t>
            </w:r>
            <w:r>
              <w:rPr>
                <w:rFonts w:hint="eastAsia" w:ascii="微软雅黑" w:hAnsi="微软雅黑" w:eastAsia="微软雅黑" w:cs="微软雅黑"/>
                <w:spacing w:val="0"/>
                <w:sz w:val="22"/>
                <w:szCs w:val="22"/>
                <w:lang w:eastAsia="zh-CN"/>
              </w:rPr>
              <w:t>柳州市</w:t>
            </w:r>
            <w:r>
              <w:rPr>
                <w:rFonts w:hint="eastAsia" w:ascii="微软雅黑" w:hAnsi="微软雅黑" w:eastAsia="微软雅黑" w:cs="微软雅黑"/>
                <w:spacing w:val="0"/>
                <w:sz w:val="22"/>
                <w:szCs w:val="22"/>
              </w:rPr>
              <w:t>工作部署落实好全区各级中介服务事项名称、依据等内容的统一，依据全区印发的行政许可中介服务事项清单，及时完善柳州市行政许可中介服务事项清单并做好动态调整。不断加大网上“中介超市”线上线下推广力度，线上配合</w:t>
            </w:r>
            <w:r>
              <w:rPr>
                <w:rFonts w:hint="eastAsia" w:ascii="微软雅黑" w:hAnsi="微软雅黑" w:eastAsia="微软雅黑" w:cs="微软雅黑"/>
                <w:spacing w:val="0"/>
                <w:sz w:val="22"/>
                <w:szCs w:val="22"/>
                <w:lang w:eastAsia="zh-CN"/>
              </w:rPr>
              <w:t>柳州市</w:t>
            </w:r>
            <w:r>
              <w:rPr>
                <w:rFonts w:hint="eastAsia" w:ascii="微软雅黑" w:hAnsi="微软雅黑" w:eastAsia="微软雅黑" w:cs="微软雅黑"/>
                <w:spacing w:val="0"/>
                <w:sz w:val="22"/>
                <w:szCs w:val="22"/>
              </w:rPr>
              <w:t>做好行政许可中介服务事项清单在网上“中介超市”实时展示、动态调整，使用好“中介超市”各项服务内容和服务功能。</w:t>
            </w:r>
          </w:p>
        </w:tc>
        <w:tc>
          <w:tcPr>
            <w:tcW w:w="1732" w:type="dxa"/>
            <w:vAlign w:val="top"/>
          </w:tcPr>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区政管办</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br w:type="textWrapping"/>
            </w:r>
            <w:r>
              <w:rPr>
                <w:rFonts w:hint="eastAsia" w:ascii="微软雅黑" w:hAnsi="微软雅黑" w:eastAsia="微软雅黑" w:cs="微软雅黑"/>
                <w:spacing w:val="0"/>
                <w:sz w:val="22"/>
                <w:szCs w:val="22"/>
                <w:lang w:eastAsia="zh-CN"/>
              </w:rPr>
              <w:t>区住建局、市场监管局，柳北生态环境局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6"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21</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w w:val="100"/>
                <w:sz w:val="22"/>
                <w:szCs w:val="22"/>
                <w:lang w:eastAsia="zh-CN"/>
              </w:rPr>
            </w:pPr>
            <w:r>
              <w:rPr>
                <w:rFonts w:hint="eastAsia" w:ascii="微软雅黑" w:hAnsi="微软雅黑" w:eastAsia="微软雅黑" w:cs="微软雅黑"/>
                <w:spacing w:val="0"/>
                <w:w w:val="100"/>
                <w:sz w:val="22"/>
                <w:szCs w:val="22"/>
                <w:lang w:eastAsia="zh-CN"/>
              </w:rPr>
              <w:t>政务</w:t>
            </w:r>
            <w:r>
              <w:rPr>
                <w:rFonts w:hint="eastAsia" w:ascii="微软雅黑" w:hAnsi="微软雅黑" w:eastAsia="微软雅黑" w:cs="微软雅黑"/>
                <w:spacing w:val="0"/>
                <w:sz w:val="22"/>
                <w:szCs w:val="22"/>
                <w:lang w:eastAsia="zh-CN"/>
              </w:rPr>
              <w:t>服务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“互联网+政务服务”</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（1）2023年依申请政务服务事项的全程网上可办率达到85%。</w:t>
            </w:r>
            <w:r>
              <w:rPr>
                <w:rFonts w:hint="eastAsia" w:ascii="微软雅黑" w:hAnsi="微软雅黑" w:eastAsia="微软雅黑" w:cs="微软雅黑"/>
                <w:spacing w:val="0"/>
                <w:sz w:val="22"/>
                <w:szCs w:val="22"/>
              </w:rPr>
              <w:br w:type="textWrapping"/>
            </w:r>
            <w:r>
              <w:rPr>
                <w:rFonts w:hint="eastAsia" w:ascii="微软雅黑" w:hAnsi="微软雅黑" w:eastAsia="微软雅黑" w:cs="微软雅黑"/>
                <w:spacing w:val="0"/>
                <w:sz w:val="22"/>
                <w:szCs w:val="22"/>
              </w:rPr>
              <w:t>（2）2023年完成新发布市本级50项以及所辖县（区）完成新发布40项可兑现的惠企惠民政策。</w:t>
            </w:r>
            <w:r>
              <w:rPr>
                <w:rFonts w:hint="eastAsia" w:ascii="微软雅黑" w:hAnsi="微软雅黑" w:eastAsia="微软雅黑" w:cs="微软雅黑"/>
                <w:spacing w:val="0"/>
                <w:sz w:val="22"/>
                <w:szCs w:val="22"/>
              </w:rPr>
              <w:br w:type="textWrapping"/>
            </w:r>
            <w:r>
              <w:rPr>
                <w:rFonts w:hint="eastAsia" w:ascii="微软雅黑" w:hAnsi="微软雅黑" w:eastAsia="微软雅黑" w:cs="微软雅黑"/>
                <w:spacing w:val="0"/>
                <w:sz w:val="22"/>
                <w:szCs w:val="22"/>
              </w:rPr>
              <w:t>（3）2023年完成市本级500件以及所辖县（区）完成5000件惠企惠民政策兑现办件。</w:t>
            </w:r>
          </w:p>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（4）2023年实现市本级30项以及所辖县（区）分别实现10项惠企惠民政策“免申即享”。</w:t>
            </w:r>
          </w:p>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（5）2023年柳州市（含县级）实现电子证照已关联应关联的政务服务事项66%以上。</w:t>
            </w:r>
          </w:p>
          <w:p>
            <w:pPr>
              <w:spacing w:line="257" w:lineRule="auto"/>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（6）2023年柳州市（含县级）新增“一件事一次办”场景5个及以上。</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w w:val="100"/>
                <w:sz w:val="22"/>
                <w:szCs w:val="22"/>
                <w:lang w:eastAsia="zh-CN"/>
              </w:rPr>
              <w:t>区发改局、政管办</w:t>
            </w:r>
            <w:r>
              <w:rPr>
                <w:rFonts w:hint="eastAsia" w:ascii="微软雅黑" w:hAnsi="微软雅黑" w:eastAsia="微软雅黑" w:cs="微软雅黑"/>
                <w:spacing w:val="0"/>
                <w:sz w:val="22"/>
                <w:szCs w:val="22"/>
                <w:lang w:eastAsia="zh-CN"/>
              </w:rPr>
              <w:t>按职责分工负责</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各有惠企惠民政策的相关单位</w:t>
            </w:r>
          </w:p>
        </w:tc>
      </w:tr>
    </w:tbl>
    <w:p>
      <w:pPr>
        <w:spacing w:line="257" w:lineRule="auto"/>
        <w:rPr>
          <w:rFonts w:hint="eastAsia" w:ascii="微软雅黑" w:hAnsi="微软雅黑" w:eastAsia="微软雅黑" w:cs="微软雅黑"/>
          <w:sz w:val="22"/>
          <w:szCs w:val="22"/>
        </w:rPr>
        <w:sectPr>
          <w:footerReference r:id="rId41" w:type="default"/>
          <w:pgSz w:w="16838" w:h="11906"/>
          <w:pgMar w:top="400" w:right="2203" w:bottom="1514" w:left="2104"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715" w:type="dxa"/>
            <w:vAlign w:val="top"/>
          </w:tcPr>
          <w:p>
            <w:pPr>
              <w:spacing w:before="0" w:line="257" w:lineRule="auto"/>
              <w:ind w:left="0" w:leftChars="0" w:firstLine="0" w:firstLineChars="0"/>
              <w:jc w:val="center"/>
              <w:rPr>
                <w:rFonts w:hint="eastAsia" w:ascii="微软雅黑" w:hAnsi="微软雅黑" w:eastAsia="微软雅黑" w:cs="微软雅黑"/>
                <w:spacing w:val="0"/>
                <w:sz w:val="22"/>
                <w:szCs w:val="22"/>
                <w:lang w:val="en-US" w:eastAsia="zh-CN"/>
              </w:rPr>
            </w:pPr>
            <w:r>
              <w:rPr>
                <w:rFonts w:hint="eastAsia" w:ascii="微软雅黑" w:hAnsi="微软雅黑" w:eastAsia="微软雅黑" w:cs="微软雅黑"/>
                <w:spacing w:val="0"/>
                <w:sz w:val="22"/>
                <w:szCs w:val="22"/>
                <w:lang w:val="en-US" w:eastAsia="zh-CN"/>
              </w:rPr>
              <w:t xml:space="preserve">     </w:t>
            </w:r>
          </w:p>
          <w:p>
            <w:pPr>
              <w:spacing w:before="0" w:line="257" w:lineRule="auto"/>
              <w:ind w:left="0" w:leftChars="0" w:firstLine="0" w:firstLineChars="0"/>
              <w:jc w:val="center"/>
              <w:rPr>
                <w:rFonts w:hint="eastAsia" w:ascii="微软雅黑" w:hAnsi="微软雅黑" w:eastAsia="微软雅黑" w:cs="微软雅黑"/>
                <w:spacing w:val="0"/>
                <w:sz w:val="22"/>
                <w:szCs w:val="22"/>
                <w:lang w:val="en-US"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val="en-US" w:eastAsia="zh-CN"/>
              </w:rPr>
            </w:pPr>
          </w:p>
          <w:p>
            <w:pPr>
              <w:spacing w:before="0" w:line="257" w:lineRule="auto"/>
              <w:ind w:left="0" w:leftChars="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22</w:t>
            </w:r>
          </w:p>
        </w:tc>
        <w:tc>
          <w:tcPr>
            <w:tcW w:w="875" w:type="dxa"/>
            <w:vAlign w:val="top"/>
          </w:tcPr>
          <w:p>
            <w:pPr>
              <w:spacing w:line="257" w:lineRule="auto"/>
              <w:ind w:firstLine="0" w:firstLineChars="0"/>
              <w:jc w:val="center"/>
              <w:rPr>
                <w:rFonts w:hint="eastAsia" w:ascii="微软雅黑" w:hAnsi="微软雅黑" w:eastAsia="微软雅黑" w:cs="微软雅黑"/>
                <w:spacing w:val="0"/>
                <w:w w:val="100"/>
                <w:sz w:val="22"/>
                <w:szCs w:val="22"/>
                <w:lang w:val="en-US" w:eastAsia="zh-CN"/>
              </w:rPr>
            </w:pPr>
            <w:r>
              <w:rPr>
                <w:rFonts w:hint="eastAsia" w:ascii="微软雅黑" w:hAnsi="微软雅黑" w:eastAsia="微软雅黑" w:cs="微软雅黑"/>
                <w:spacing w:val="0"/>
                <w:w w:val="100"/>
                <w:sz w:val="22"/>
                <w:szCs w:val="22"/>
                <w:lang w:val="en-US" w:eastAsia="zh-CN"/>
              </w:rPr>
              <w:t xml:space="preserve"> </w:t>
            </w:r>
          </w:p>
          <w:p>
            <w:pPr>
              <w:spacing w:line="257" w:lineRule="auto"/>
              <w:ind w:firstLine="0" w:firstLineChars="0"/>
              <w:jc w:val="center"/>
              <w:rPr>
                <w:rFonts w:hint="eastAsia" w:ascii="微软雅黑" w:hAnsi="微软雅黑" w:eastAsia="微软雅黑" w:cs="微软雅黑"/>
                <w:spacing w:val="0"/>
                <w:w w:val="100"/>
                <w:sz w:val="22"/>
                <w:szCs w:val="22"/>
                <w:lang w:val="en-US" w:eastAsia="zh-CN"/>
              </w:rPr>
            </w:pPr>
          </w:p>
          <w:p>
            <w:pPr>
              <w:spacing w:line="257" w:lineRule="auto"/>
              <w:ind w:firstLine="0" w:firstLineChars="0"/>
              <w:jc w:val="center"/>
              <w:rPr>
                <w:rFonts w:hint="eastAsia" w:ascii="微软雅黑" w:hAnsi="微软雅黑" w:eastAsia="微软雅黑" w:cs="微软雅黑"/>
                <w:spacing w:val="0"/>
                <w:w w:val="100"/>
                <w:sz w:val="22"/>
                <w:szCs w:val="22"/>
                <w:lang w:val="en-US" w:eastAsia="zh-CN"/>
              </w:rPr>
            </w:pPr>
          </w:p>
          <w:p>
            <w:pPr>
              <w:spacing w:line="257" w:lineRule="auto"/>
              <w:ind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政务</w:t>
            </w:r>
            <w:r>
              <w:rPr>
                <w:rFonts w:hint="eastAsia" w:ascii="微软雅黑" w:hAnsi="微软雅黑" w:eastAsia="微软雅黑" w:cs="微软雅黑"/>
                <w:spacing w:val="0"/>
                <w:sz w:val="22"/>
                <w:szCs w:val="22"/>
                <w:lang w:eastAsia="zh-CN"/>
              </w:rPr>
              <w:t>服务</w:t>
            </w:r>
          </w:p>
        </w:tc>
        <w:tc>
          <w:tcPr>
            <w:tcW w:w="1828" w:type="dxa"/>
            <w:vAlign w:val="top"/>
          </w:tcPr>
          <w:p>
            <w:pPr>
              <w:spacing w:line="257" w:lineRule="auto"/>
              <w:ind w:left="0" w:leftChars="0" w:firstLine="0" w:firstLineChars="0"/>
              <w:jc w:val="center"/>
              <w:rPr>
                <w:rFonts w:hint="eastAsia" w:ascii="微软雅黑" w:hAnsi="微软雅黑" w:eastAsia="微软雅黑" w:cs="微软雅黑"/>
                <w:spacing w:val="0"/>
                <w:sz w:val="22"/>
                <w:szCs w:val="22"/>
                <w:lang w:val="en-US" w:eastAsia="zh-CN"/>
              </w:rPr>
            </w:pPr>
            <w:r>
              <w:rPr>
                <w:rFonts w:hint="eastAsia" w:ascii="微软雅黑" w:hAnsi="微软雅黑" w:eastAsia="微软雅黑" w:cs="微软雅黑"/>
                <w:spacing w:val="0"/>
                <w:sz w:val="22"/>
                <w:szCs w:val="22"/>
                <w:lang w:val="en-US" w:eastAsia="zh-CN"/>
              </w:rPr>
              <w:t xml:space="preserve"> </w:t>
            </w:r>
          </w:p>
          <w:p>
            <w:pPr>
              <w:spacing w:line="257" w:lineRule="auto"/>
              <w:ind w:left="0" w:leftChars="0" w:firstLine="0" w:firstLineChars="0"/>
              <w:jc w:val="center"/>
              <w:rPr>
                <w:rFonts w:hint="eastAsia" w:ascii="微软雅黑" w:hAnsi="微软雅黑" w:eastAsia="微软雅黑" w:cs="微软雅黑"/>
                <w:spacing w:val="0"/>
                <w:sz w:val="22"/>
                <w:szCs w:val="22"/>
                <w:lang w:val="en-US" w:eastAsia="zh-CN"/>
              </w:rPr>
            </w:pPr>
          </w:p>
          <w:p>
            <w:pPr>
              <w:spacing w:line="257" w:lineRule="auto"/>
              <w:ind w:left="0" w:leftChars="0" w:firstLine="0" w:firstLineChars="0"/>
              <w:jc w:val="center"/>
              <w:rPr>
                <w:rFonts w:hint="eastAsia" w:ascii="微软雅黑" w:hAnsi="微软雅黑" w:eastAsia="微软雅黑" w:cs="微软雅黑"/>
                <w:spacing w:val="0"/>
                <w:sz w:val="22"/>
                <w:szCs w:val="22"/>
                <w:lang w:val="en-US" w:eastAsia="zh-CN"/>
              </w:rPr>
            </w:pPr>
          </w:p>
          <w:p>
            <w:pPr>
              <w:spacing w:line="257" w:lineRule="auto"/>
              <w:ind w:left="0" w:leftChars="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持续规范中介服</w:t>
            </w:r>
            <w:r>
              <w:rPr>
                <w:rFonts w:hint="eastAsia" w:ascii="微软雅黑" w:hAnsi="微软雅黑" w:eastAsia="微软雅黑" w:cs="微软雅黑"/>
                <w:sz w:val="22"/>
                <w:szCs w:val="22"/>
                <w:lang w:eastAsia="zh-CN"/>
              </w:rPr>
              <w:t>务</w:t>
            </w:r>
          </w:p>
        </w:tc>
        <w:tc>
          <w:tcPr>
            <w:tcW w:w="3262" w:type="dxa"/>
            <w:vAlign w:val="top"/>
          </w:tcPr>
          <w:p>
            <w:pPr>
              <w:spacing w:line="257" w:lineRule="auto"/>
              <w:rPr>
                <w:rFonts w:hint="eastAsia" w:ascii="微软雅黑" w:hAnsi="微软雅黑" w:eastAsia="微软雅黑" w:cs="微软雅黑"/>
                <w:spacing w:val="0"/>
                <w:sz w:val="22"/>
                <w:szCs w:val="22"/>
                <w:shd w:val="clear"/>
              </w:rPr>
            </w:pPr>
            <w:r>
              <w:rPr>
                <w:rFonts w:hint="eastAsia" w:ascii="微软雅黑" w:hAnsi="微软雅黑" w:eastAsia="微软雅黑" w:cs="微软雅黑"/>
                <w:spacing w:val="0"/>
                <w:sz w:val="22"/>
                <w:szCs w:val="22"/>
              </w:rPr>
              <w:t>坚决整治行政机关违法指定中介机构、强制市场主体接受中介</w:t>
            </w:r>
            <w:r>
              <w:rPr>
                <w:rFonts w:hint="eastAsia" w:ascii="微软雅黑" w:hAnsi="微软雅黑" w:eastAsia="微软雅黑" w:cs="微软雅黑"/>
                <w:spacing w:val="0"/>
                <w:sz w:val="22"/>
                <w:szCs w:val="22"/>
                <w:shd w:val="clear"/>
              </w:rPr>
              <w:t>服务等行为，依法查处中介机构强制服务收费等行为。全面实施</w:t>
            </w:r>
          </w:p>
          <w:p>
            <w:pPr>
              <w:spacing w:line="257" w:lineRule="auto"/>
              <w:rPr>
                <w:rFonts w:hint="eastAsia" w:ascii="微软雅黑" w:hAnsi="微软雅黑" w:eastAsia="微软雅黑" w:cs="微软雅黑"/>
                <w:spacing w:val="0"/>
                <w:sz w:val="22"/>
                <w:szCs w:val="22"/>
                <w:shd w:val="clear"/>
              </w:rPr>
            </w:pPr>
            <w:r>
              <w:rPr>
                <w:rFonts w:hint="eastAsia" w:ascii="微软雅黑" w:hAnsi="微软雅黑" w:eastAsia="微软雅黑" w:cs="微软雅黑"/>
                <w:spacing w:val="0"/>
                <w:sz w:val="22"/>
                <w:szCs w:val="22"/>
                <w:shd w:val="clear"/>
              </w:rPr>
              <w:t>行政许可中介服务收费项目清</w:t>
            </w:r>
          </w:p>
          <w:p>
            <w:pPr>
              <w:spacing w:line="257" w:lineRule="auto"/>
              <w:rPr>
                <w:rFonts w:hint="eastAsia" w:ascii="微软雅黑" w:hAnsi="微软雅黑" w:eastAsia="微软雅黑" w:cs="微软雅黑"/>
                <w:spacing w:val="0"/>
                <w:sz w:val="22"/>
                <w:szCs w:val="22"/>
                <w:shd w:val="clear"/>
              </w:rPr>
            </w:pPr>
            <w:r>
              <w:rPr>
                <w:rFonts w:hint="eastAsia" w:ascii="微软雅黑" w:hAnsi="微软雅黑" w:eastAsia="微软雅黑" w:cs="微软雅黑"/>
                <w:spacing w:val="0"/>
                <w:sz w:val="22"/>
                <w:szCs w:val="22"/>
                <w:shd w:val="clear"/>
              </w:rPr>
              <w:t>单管理，清理规范中介服务违规</w:t>
            </w:r>
          </w:p>
          <w:p>
            <w:pPr>
              <w:spacing w:line="257" w:lineRule="auto"/>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shd w:val="clear"/>
              </w:rPr>
              <w:t>收费和不合理收费。</w:t>
            </w:r>
          </w:p>
        </w:tc>
        <w:tc>
          <w:tcPr>
            <w:tcW w:w="1732"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both"/>
              <w:rPr>
                <w:rFonts w:hint="eastAsia" w:ascii="微软雅黑" w:hAnsi="微软雅黑" w:eastAsia="微软雅黑" w:cs="微软雅黑"/>
                <w:spacing w:val="0"/>
                <w:sz w:val="22"/>
                <w:szCs w:val="22"/>
                <w:lang w:eastAsia="zh-CN"/>
              </w:rPr>
            </w:pPr>
          </w:p>
          <w:p>
            <w:pPr>
              <w:spacing w:line="257" w:lineRule="auto"/>
              <w:jc w:val="both"/>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both"/>
              <w:rPr>
                <w:rFonts w:hint="eastAsia" w:ascii="微软雅黑" w:hAnsi="微软雅黑" w:eastAsia="微软雅黑" w:cs="微软雅黑"/>
                <w:spacing w:val="0"/>
                <w:sz w:val="22"/>
                <w:szCs w:val="22"/>
                <w:lang w:eastAsia="zh-CN"/>
              </w:rPr>
            </w:pPr>
          </w:p>
          <w:p>
            <w:pPr>
              <w:spacing w:line="257" w:lineRule="auto"/>
              <w:jc w:val="both"/>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区市场监管局</w:t>
            </w:r>
          </w:p>
        </w:tc>
        <w:tc>
          <w:tcPr>
            <w:tcW w:w="1927" w:type="dxa"/>
            <w:vAlign w:val="top"/>
          </w:tcPr>
          <w:p>
            <w:pPr>
              <w:spacing w:line="257" w:lineRule="auto"/>
              <w:jc w:val="both"/>
              <w:rPr>
                <w:rFonts w:hint="eastAsia" w:ascii="微软雅黑" w:hAnsi="微软雅黑" w:eastAsia="微软雅黑" w:cs="微软雅黑"/>
                <w:spacing w:val="0"/>
                <w:sz w:val="22"/>
                <w:szCs w:val="22"/>
                <w:lang w:eastAsia="zh-CN"/>
              </w:rPr>
            </w:pPr>
          </w:p>
          <w:p>
            <w:pPr>
              <w:spacing w:line="257" w:lineRule="auto"/>
              <w:jc w:val="both"/>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区发改局、财政局、</w:t>
            </w:r>
            <w:r>
              <w:rPr>
                <w:rFonts w:hint="eastAsia" w:ascii="微软雅黑" w:hAnsi="微软雅黑" w:eastAsia="微软雅黑" w:cs="微软雅黑"/>
                <w:spacing w:val="0"/>
                <w:sz w:val="22"/>
                <w:szCs w:val="22"/>
                <w:shd w:val="clear"/>
                <w:lang w:eastAsia="zh-CN"/>
              </w:rPr>
              <w:t>柳北生态环境局、区自然资源局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23</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w w:val="100"/>
                <w:sz w:val="22"/>
                <w:szCs w:val="22"/>
                <w:lang w:eastAsia="zh-CN"/>
              </w:rPr>
            </w:pPr>
            <w:r>
              <w:rPr>
                <w:rFonts w:hint="eastAsia" w:ascii="微软雅黑" w:hAnsi="微软雅黑" w:eastAsia="微软雅黑" w:cs="微软雅黑"/>
                <w:spacing w:val="0"/>
                <w:w w:val="100"/>
                <w:sz w:val="22"/>
                <w:szCs w:val="22"/>
                <w:lang w:eastAsia="zh-CN"/>
              </w:rPr>
              <w:t>政务</w:t>
            </w:r>
            <w:r>
              <w:rPr>
                <w:rFonts w:hint="eastAsia" w:ascii="微软雅黑" w:hAnsi="微软雅黑" w:eastAsia="微软雅黑" w:cs="微软雅黑"/>
                <w:spacing w:val="0"/>
                <w:sz w:val="22"/>
                <w:szCs w:val="22"/>
                <w:lang w:eastAsia="zh-CN"/>
              </w:rPr>
              <w:t>服务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推行企业服务码改革</w:t>
            </w:r>
          </w:p>
        </w:tc>
        <w:tc>
          <w:tcPr>
            <w:tcW w:w="3262" w:type="dxa"/>
            <w:vAlign w:val="top"/>
          </w:tcPr>
          <w:p>
            <w:pPr>
              <w:spacing w:line="257" w:lineRule="auto"/>
              <w:jc w:val="left"/>
              <w:rPr>
                <w:rFonts w:hint="eastAsia" w:ascii="微软雅黑" w:hAnsi="微软雅黑" w:eastAsia="微软雅黑" w:cs="微软雅黑"/>
                <w:spacing w:val="0"/>
                <w:sz w:val="22"/>
                <w:szCs w:val="22"/>
                <w:shd w:val="clear"/>
              </w:rPr>
            </w:pPr>
            <w:r>
              <w:rPr>
                <w:rFonts w:hint="eastAsia" w:ascii="微软雅黑" w:hAnsi="微软雅黑" w:eastAsia="微软雅黑" w:cs="微软雅黑"/>
                <w:spacing w:val="0"/>
                <w:sz w:val="22"/>
                <w:szCs w:val="22"/>
              </w:rPr>
              <w:t>以电子营业执照为身份信任源点，全面关联市场主体名下证照、许可、监管、信用、档案等信息，打造“一照集成”式市场主体专属空间，推动电子营业执照在预约取号、办事授权、许可监管、融资贷款等涉企服务领域应用。</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w w:val="100"/>
                <w:sz w:val="22"/>
                <w:szCs w:val="22"/>
                <w:lang w:eastAsia="zh-CN"/>
              </w:rPr>
              <w:t>区市场监督局、政务网络服务中心</w:t>
            </w:r>
            <w:r>
              <w:rPr>
                <w:rFonts w:hint="eastAsia" w:ascii="微软雅黑" w:hAnsi="微软雅黑" w:eastAsia="微软雅黑" w:cs="微软雅黑"/>
                <w:spacing w:val="0"/>
                <w:sz w:val="22"/>
                <w:szCs w:val="22"/>
                <w:lang w:eastAsia="zh-CN"/>
              </w:rPr>
              <w:t>按职责分工负责</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区工信局、财政局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24</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w w:val="100"/>
                <w:sz w:val="22"/>
                <w:szCs w:val="22"/>
                <w:lang w:eastAsia="zh-CN"/>
              </w:rPr>
            </w:pPr>
            <w:r>
              <w:rPr>
                <w:rFonts w:hint="eastAsia" w:ascii="微软雅黑" w:hAnsi="微软雅黑" w:eastAsia="微软雅黑" w:cs="微软雅黑"/>
                <w:spacing w:val="0"/>
                <w:w w:val="100"/>
                <w:sz w:val="22"/>
                <w:szCs w:val="22"/>
                <w:lang w:eastAsia="zh-CN"/>
              </w:rPr>
              <w:t>政务</w:t>
            </w:r>
            <w:r>
              <w:rPr>
                <w:rFonts w:hint="eastAsia" w:ascii="微软雅黑" w:hAnsi="微软雅黑" w:eastAsia="微软雅黑" w:cs="微软雅黑"/>
                <w:spacing w:val="0"/>
                <w:sz w:val="22"/>
                <w:szCs w:val="22"/>
                <w:lang w:eastAsia="zh-CN"/>
              </w:rPr>
              <w:t>服务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整合营商环境投诉渠道，完善民营企业诉求反映</w:t>
            </w:r>
            <w:r>
              <w:rPr>
                <w:rFonts w:hint="eastAsia" w:ascii="微软雅黑" w:hAnsi="微软雅黑" w:eastAsia="微软雅黑" w:cs="微软雅黑"/>
                <w:sz w:val="22"/>
                <w:szCs w:val="22"/>
                <w:lang w:eastAsia="zh-CN"/>
              </w:rPr>
              <w:t>保障机制</w:t>
            </w:r>
          </w:p>
        </w:tc>
        <w:tc>
          <w:tcPr>
            <w:tcW w:w="3262" w:type="dxa"/>
            <w:vAlign w:val="top"/>
          </w:tcPr>
          <w:p>
            <w:pPr>
              <w:spacing w:line="257" w:lineRule="auto"/>
              <w:jc w:val="left"/>
              <w:rPr>
                <w:rFonts w:hint="eastAsia" w:ascii="微软雅黑" w:hAnsi="微软雅黑" w:eastAsia="微软雅黑" w:cs="微软雅黑"/>
                <w:spacing w:val="0"/>
                <w:sz w:val="22"/>
                <w:szCs w:val="22"/>
                <w:shd w:val="clear"/>
              </w:rPr>
            </w:pPr>
            <w:r>
              <w:rPr>
                <w:rFonts w:hint="eastAsia" w:ascii="微软雅黑" w:hAnsi="微软雅黑" w:eastAsia="微软雅黑" w:cs="微软雅黑"/>
                <w:spacing w:val="0"/>
                <w:sz w:val="22"/>
                <w:szCs w:val="22"/>
              </w:rPr>
              <w:t>涉及市场主体诉求统一由12345“优化营商环境专线”受理转办，清单化解决企业诉求。市场主体求助类工单在3个工作日内办结答复，投诉、举报类工单在10个工作日内办结答复，对未解决或不满意工单进行100%人工回访。工单处置中出现未依法履行职能、敷衍塞责等情况的，由12345热线发“整改函”督促承办单位整改；情况恶劣、造成不良影响的，12345热线视情况将线索移交营商环境管理、督查部门和纪检监察机关依规依纪依法处理。</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区政务网络服务中心</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区纪委监委机关，发改局、市场监管局，各有关单位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3"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25</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政务</w:t>
            </w:r>
            <w:r>
              <w:rPr>
                <w:rFonts w:hint="eastAsia" w:ascii="微软雅黑" w:hAnsi="微软雅黑" w:eastAsia="微软雅黑" w:cs="微软雅黑"/>
                <w:spacing w:val="0"/>
                <w:sz w:val="22"/>
                <w:szCs w:val="22"/>
                <w:lang w:eastAsia="zh-CN"/>
              </w:rPr>
              <w:t>服务</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eastAsia="zh-CN"/>
              </w:rPr>
              <w:t>跨省通办</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加快推进桂黔“跨省通办”改革试点工作，建立全域“跨省通办”事项负面清单。开展政务服务事项全量梳理，将法律法规明确必须在属地现场办理、必须对申请人身份信息现场核验和涉及安全保密的政务服务事项列入负面清单，负面清单之外的所有政务服务事项原则上实现全域“跨省通办”。</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区政管办</w:t>
            </w:r>
          </w:p>
        </w:tc>
        <w:tc>
          <w:tcPr>
            <w:tcW w:w="1927"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市公安局柳北分局，区人社局、住建局、自然资源局、农业农村局、民政局、民宗局，区委统战部，各有关单位</w:t>
            </w:r>
          </w:p>
        </w:tc>
      </w:tr>
    </w:tbl>
    <w:p>
      <w:pPr>
        <w:spacing w:line="257" w:lineRule="auto"/>
        <w:rPr>
          <w:rFonts w:hint="eastAsia" w:ascii="微软雅黑" w:hAnsi="微软雅黑" w:eastAsia="微软雅黑" w:cs="微软雅黑"/>
          <w:sz w:val="22"/>
          <w:szCs w:val="22"/>
        </w:rPr>
        <w:sectPr>
          <w:footerReference r:id="rId42" w:type="default"/>
          <w:pgSz w:w="16838" w:h="11906"/>
          <w:pgMar w:top="400" w:right="2104" w:bottom="1514" w:left="2203"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6"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26</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创新创业</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着力培育企业技术中心</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推进产业链创新内容和发展，围绕重点产业链持续培育认定一批自治区企业技术中心，新增认定1家，新增认定4家市级以上企业技术中心。深入实施“千企技改”工</w:t>
            </w:r>
            <w:r>
              <w:rPr>
                <w:rFonts w:hint="eastAsia" w:ascii="微软雅黑" w:hAnsi="微软雅黑" w:eastAsia="微软雅黑" w:cs="微软雅黑"/>
                <w:sz w:val="22"/>
                <w:szCs w:val="22"/>
              </w:rPr>
              <w:t>程，推动新产品新技术产业化发展。积极申报并扎实推进自治区</w:t>
            </w:r>
            <w:r>
              <w:rPr>
                <w:rFonts w:hint="eastAsia" w:ascii="微软雅黑" w:hAnsi="微软雅黑" w:eastAsia="微软雅黑" w:cs="微软雅黑"/>
                <w:spacing w:val="0"/>
                <w:sz w:val="22"/>
                <w:szCs w:val="22"/>
              </w:rPr>
              <w:t>“千企技改”项目。</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区工信局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区科技局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1" w:hRule="atLeast"/>
        </w:trPr>
        <w:tc>
          <w:tcPr>
            <w:tcW w:w="715" w:type="dxa"/>
            <w:vAlign w:val="top"/>
          </w:tcPr>
          <w:p>
            <w:pPr>
              <w:spacing w:before="0" w:line="257" w:lineRule="auto"/>
              <w:ind w:left="0" w:leftChars="0" w:firstLine="0" w:firstLineChars="0"/>
              <w:jc w:val="both"/>
              <w:rPr>
                <w:rFonts w:hint="eastAsia" w:ascii="微软雅黑" w:hAnsi="微软雅黑" w:eastAsia="微软雅黑" w:cs="微软雅黑"/>
                <w:spacing w:val="0"/>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27</w:t>
            </w:r>
          </w:p>
        </w:tc>
        <w:tc>
          <w:tcPr>
            <w:tcW w:w="875"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创新创业</w:t>
            </w:r>
          </w:p>
        </w:tc>
        <w:tc>
          <w:tcPr>
            <w:tcW w:w="1828"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提高科技型中小企业评价入库数</w:t>
            </w:r>
          </w:p>
        </w:tc>
        <w:tc>
          <w:tcPr>
            <w:tcW w:w="3262" w:type="dxa"/>
            <w:vAlign w:val="top"/>
          </w:tcPr>
          <w:p>
            <w:pPr>
              <w:spacing w:line="257" w:lineRule="auto"/>
              <w:jc w:val="left"/>
              <w:rPr>
                <w:rFonts w:hint="eastAsia" w:ascii="微软雅黑" w:hAnsi="微软雅黑" w:eastAsia="微软雅黑" w:cs="微软雅黑"/>
                <w:spacing w:val="0"/>
                <w:sz w:val="22"/>
                <w:szCs w:val="22"/>
              </w:rPr>
            </w:pPr>
          </w:p>
          <w:p>
            <w:pPr>
              <w:spacing w:line="257" w:lineRule="auto"/>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完成</w:t>
            </w:r>
            <w:r>
              <w:rPr>
                <w:rFonts w:hint="eastAsia" w:ascii="微软雅黑" w:hAnsi="微软雅黑" w:eastAsia="微软雅黑" w:cs="微软雅黑"/>
                <w:spacing w:val="0"/>
                <w:sz w:val="22"/>
                <w:szCs w:val="22"/>
                <w:lang w:val="en-US" w:eastAsia="zh-CN"/>
              </w:rPr>
              <w:t>68</w:t>
            </w:r>
            <w:r>
              <w:rPr>
                <w:rFonts w:hint="eastAsia" w:ascii="微软雅黑" w:hAnsi="微软雅黑" w:eastAsia="微软雅黑" w:cs="微软雅黑"/>
                <w:spacing w:val="0"/>
                <w:sz w:val="22"/>
                <w:szCs w:val="22"/>
              </w:rPr>
              <w:t>家科技型中小企业评价入库数任务。</w:t>
            </w:r>
          </w:p>
        </w:tc>
        <w:tc>
          <w:tcPr>
            <w:tcW w:w="1732"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区科技局</w:t>
            </w:r>
          </w:p>
        </w:tc>
        <w:tc>
          <w:tcPr>
            <w:tcW w:w="1927" w:type="dxa"/>
            <w:vAlign w:val="top"/>
          </w:tcPr>
          <w:p>
            <w:pPr>
              <w:spacing w:line="257" w:lineRule="auto"/>
              <w:jc w:val="center"/>
              <w:rPr>
                <w:rFonts w:hint="eastAsia" w:ascii="微软雅黑" w:hAnsi="微软雅黑" w:eastAsia="微软雅黑" w:cs="微软雅黑"/>
                <w:spacing w:val="0"/>
                <w:sz w:val="22"/>
                <w:szCs w:val="22"/>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6"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28</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创新创业</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加大研发经费投</w:t>
            </w:r>
            <w:r>
              <w:rPr>
                <w:rFonts w:hint="eastAsia" w:ascii="微软雅黑" w:hAnsi="微软雅黑" w:eastAsia="微软雅黑" w:cs="微软雅黑"/>
                <w:sz w:val="22"/>
                <w:szCs w:val="22"/>
                <w:lang w:eastAsia="zh-CN"/>
              </w:rPr>
              <w:t>入</w:t>
            </w:r>
          </w:p>
        </w:tc>
        <w:tc>
          <w:tcPr>
            <w:tcW w:w="3262" w:type="dxa"/>
            <w:vAlign w:val="top"/>
          </w:tcPr>
          <w:p>
            <w:pPr>
              <w:spacing w:line="257" w:lineRule="auto"/>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财政每年安排的科学技术经费支出占一般公共预算支出比重分别不低于</w:t>
            </w:r>
            <w:r>
              <w:rPr>
                <w:rFonts w:hint="eastAsia" w:ascii="微软雅黑" w:hAnsi="微软雅黑" w:eastAsia="微软雅黑" w:cs="微软雅黑"/>
                <w:sz w:val="22"/>
                <w:szCs w:val="22"/>
              </w:rPr>
              <w:t>2%、1%；用好自治区下达激励企业加大研发经费投入财政奖补资金300万以上；规模以上企业年度研究开发经费投入同比提高10%以上</w:t>
            </w:r>
            <w:r>
              <w:rPr>
                <w:rFonts w:hint="eastAsia" w:ascii="微软雅黑" w:hAnsi="微软雅黑" w:eastAsia="微软雅黑" w:cs="微软雅黑"/>
                <w:spacing w:val="0"/>
                <w:sz w:val="22"/>
                <w:szCs w:val="22"/>
              </w:rPr>
              <w:t>。</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区科技局、财政局按职责分工负责</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区工信局，各有关单位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6" w:hRule="atLeast"/>
        </w:trPr>
        <w:tc>
          <w:tcPr>
            <w:tcW w:w="71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29</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创新创业</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着力提升制造业数字化水平</w:t>
            </w:r>
          </w:p>
        </w:tc>
        <w:tc>
          <w:tcPr>
            <w:tcW w:w="3262" w:type="dxa"/>
            <w:vAlign w:val="top"/>
          </w:tcPr>
          <w:p>
            <w:pPr>
              <w:spacing w:line="257" w:lineRule="auto"/>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提升产业创新能力。推动经济技术开发区信息化基础设施建设，应用人工智能、大数据、工业云等新技术，以工业互联网平台为依托，开展智能制造，提升数字化、网络化、智能化发展水平。在产业链中运用智能采购、智能物流、供应链集成等技术，推动整体产业链融合和智能发展，对于国家级经开区智能制造优秀企业，优先支持其申报“智能制造标准应用试点”“国家高新技术产业标准化试点示范”。支持鼓励设立外资研发中心。</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区工信局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区科技局、市场监管局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6" w:hRule="atLeast"/>
        </w:trPr>
        <w:tc>
          <w:tcPr>
            <w:tcW w:w="715" w:type="dxa"/>
            <w:vAlign w:val="top"/>
          </w:tcPr>
          <w:p>
            <w:pPr>
              <w:spacing w:line="257" w:lineRule="auto"/>
              <w:ind w:firstLine="0" w:firstLineChars="0"/>
              <w:jc w:val="both"/>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30</w:t>
            </w:r>
          </w:p>
        </w:tc>
        <w:tc>
          <w:tcPr>
            <w:tcW w:w="875" w:type="dxa"/>
            <w:vAlign w:val="top"/>
          </w:tcPr>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创新创业</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深化科技成果使用权、处置权和收益权改革</w:t>
            </w:r>
          </w:p>
        </w:tc>
        <w:tc>
          <w:tcPr>
            <w:tcW w:w="3262" w:type="dxa"/>
            <w:vAlign w:val="top"/>
          </w:tcPr>
          <w:p>
            <w:pPr>
              <w:spacing w:line="257" w:lineRule="auto"/>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积极争取职务科技成果转化前非资产化管理改革试点，推动更多高等院校、科研机构开展科技成果赋权试点，充分调动科研人员开展技术创新和成果转化的积极性。</w:t>
            </w:r>
          </w:p>
        </w:tc>
        <w:tc>
          <w:tcPr>
            <w:tcW w:w="1732" w:type="dxa"/>
            <w:vAlign w:val="top"/>
          </w:tcPr>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区科技局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区发改局、财政局、人社局、教育局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6"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31</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创新创业</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加快推动科研领域“放管服”改革</w:t>
            </w:r>
          </w:p>
        </w:tc>
        <w:tc>
          <w:tcPr>
            <w:tcW w:w="3262" w:type="dxa"/>
            <w:vAlign w:val="top"/>
          </w:tcPr>
          <w:p>
            <w:pPr>
              <w:spacing w:line="257" w:lineRule="auto"/>
              <w:jc w:val="left"/>
              <w:rPr>
                <w:rFonts w:hint="eastAsia" w:ascii="微软雅黑" w:hAnsi="微软雅黑" w:eastAsia="微软雅黑" w:cs="微软雅黑"/>
                <w:spacing w:val="0"/>
                <w:sz w:val="22"/>
                <w:szCs w:val="22"/>
                <w:lang w:eastAsia="zh-CN"/>
              </w:rPr>
            </w:pPr>
          </w:p>
          <w:p>
            <w:pPr>
              <w:spacing w:line="257" w:lineRule="auto"/>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lang w:eastAsia="zh-CN"/>
              </w:rPr>
              <w:t>配合</w:t>
            </w:r>
            <w:r>
              <w:rPr>
                <w:rFonts w:hint="eastAsia" w:ascii="微软雅黑" w:hAnsi="微软雅黑" w:eastAsia="微软雅黑" w:cs="微软雅黑"/>
                <w:spacing w:val="0"/>
                <w:sz w:val="22"/>
                <w:szCs w:val="22"/>
              </w:rPr>
              <w:t>完善市级科技企业孵化器评价指标体系，优化国家科技企业孵化器及国家备案众创空间信息变更管理模式。</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区科技局</w:t>
            </w:r>
          </w:p>
        </w:tc>
        <w:tc>
          <w:tcPr>
            <w:tcW w:w="1927" w:type="dxa"/>
            <w:vAlign w:val="top"/>
          </w:tcPr>
          <w:p>
            <w:pPr>
              <w:spacing w:line="257" w:lineRule="auto"/>
              <w:jc w:val="center"/>
              <w:rPr>
                <w:rFonts w:hint="eastAsia" w:ascii="微软雅黑" w:hAnsi="微软雅黑" w:eastAsia="微软雅黑" w:cs="微软雅黑"/>
                <w:spacing w:val="0"/>
                <w:sz w:val="22"/>
                <w:szCs w:val="22"/>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6"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32</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创新创业</w:t>
            </w:r>
          </w:p>
        </w:tc>
        <w:tc>
          <w:tcPr>
            <w:tcW w:w="1828" w:type="dxa"/>
            <w:vAlign w:val="top"/>
          </w:tcPr>
          <w:p>
            <w:pPr>
              <w:spacing w:line="257" w:lineRule="auto"/>
              <w:jc w:val="center"/>
              <w:rPr>
                <w:rFonts w:hint="eastAsia" w:ascii="微软雅黑" w:hAnsi="微软雅黑" w:eastAsia="微软雅黑" w:cs="微软雅黑"/>
                <w:b w:val="0"/>
                <w:bCs w:val="0"/>
                <w:color w:val="000000"/>
                <w:spacing w:val="0"/>
                <w:kern w:val="0"/>
                <w:sz w:val="22"/>
                <w:szCs w:val="22"/>
                <w:lang w:val="en-US" w:eastAsia="zh-CN"/>
              </w:rPr>
            </w:pPr>
          </w:p>
          <w:p>
            <w:pPr>
              <w:spacing w:line="257" w:lineRule="auto"/>
              <w:jc w:val="center"/>
              <w:rPr>
                <w:rFonts w:hint="eastAsia" w:ascii="微软雅黑" w:hAnsi="微软雅黑" w:eastAsia="微软雅黑" w:cs="微软雅黑"/>
                <w:b w:val="0"/>
                <w:bCs w:val="0"/>
                <w:color w:val="000000"/>
                <w:spacing w:val="0"/>
                <w:kern w:val="0"/>
                <w:sz w:val="22"/>
                <w:szCs w:val="22"/>
                <w:lang w:val="en-US"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b w:val="0"/>
                <w:bCs w:val="0"/>
                <w:color w:val="000000"/>
                <w:spacing w:val="0"/>
                <w:kern w:val="0"/>
                <w:sz w:val="22"/>
                <w:szCs w:val="22"/>
                <w:lang w:val="en-US" w:eastAsia="zh-CN"/>
              </w:rPr>
              <w:t>持续推进科创示范带合围工作</w:t>
            </w:r>
          </w:p>
        </w:tc>
        <w:tc>
          <w:tcPr>
            <w:tcW w:w="3262" w:type="dxa"/>
            <w:vAlign w:val="top"/>
          </w:tcPr>
          <w:p>
            <w:pPr>
              <w:spacing w:line="257" w:lineRule="auto"/>
              <w:jc w:val="left"/>
              <w:rPr>
                <w:rFonts w:hint="eastAsia" w:ascii="微软雅黑" w:hAnsi="微软雅黑" w:eastAsia="微软雅黑" w:cs="微软雅黑"/>
                <w:b w:val="0"/>
                <w:bCs w:val="0"/>
                <w:color w:val="000000"/>
                <w:spacing w:val="0"/>
                <w:kern w:val="0"/>
                <w:sz w:val="22"/>
                <w:szCs w:val="22"/>
                <w:lang w:val="en-US" w:eastAsia="zh-CN"/>
              </w:rPr>
            </w:pPr>
          </w:p>
          <w:p>
            <w:pPr>
              <w:spacing w:line="257" w:lineRule="auto"/>
              <w:jc w:val="left"/>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b w:val="0"/>
                <w:bCs w:val="0"/>
                <w:color w:val="000000"/>
                <w:spacing w:val="0"/>
                <w:kern w:val="0"/>
                <w:sz w:val="22"/>
                <w:szCs w:val="22"/>
                <w:lang w:val="en-US" w:eastAsia="zh-CN"/>
              </w:rPr>
              <w:br w:type="textWrapping"/>
            </w:r>
            <w:r>
              <w:rPr>
                <w:rFonts w:hint="eastAsia" w:ascii="微软雅黑" w:hAnsi="微软雅黑" w:eastAsia="微软雅黑" w:cs="微软雅黑"/>
                <w:b w:val="0"/>
                <w:bCs w:val="0"/>
                <w:color w:val="000000"/>
                <w:spacing w:val="0"/>
                <w:kern w:val="0"/>
                <w:sz w:val="22"/>
                <w:szCs w:val="22"/>
                <w:lang w:val="en-US" w:eastAsia="zh-CN"/>
              </w:rPr>
              <w:t>深入推进国际创新型城市建设，持续推进科创示范带合围工作。</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区科技局</w:t>
            </w:r>
          </w:p>
        </w:tc>
        <w:tc>
          <w:tcPr>
            <w:tcW w:w="1927" w:type="dxa"/>
            <w:vAlign w:val="top"/>
          </w:tcPr>
          <w:p>
            <w:pPr>
              <w:spacing w:line="257" w:lineRule="auto"/>
              <w:jc w:val="center"/>
              <w:rPr>
                <w:rFonts w:hint="eastAsia" w:ascii="微软雅黑" w:hAnsi="微软雅黑" w:eastAsia="微软雅黑" w:cs="微软雅黑"/>
                <w:spacing w:val="0"/>
                <w:sz w:val="22"/>
                <w:szCs w:val="22"/>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6"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33</w:t>
            </w:r>
          </w:p>
        </w:tc>
        <w:tc>
          <w:tcPr>
            <w:tcW w:w="875"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包容普惠创新</w:t>
            </w:r>
          </w:p>
        </w:tc>
        <w:tc>
          <w:tcPr>
            <w:tcW w:w="1828"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巩固提高学前教育、义务教育、高中阶段教育普及水平</w:t>
            </w:r>
          </w:p>
        </w:tc>
        <w:tc>
          <w:tcPr>
            <w:tcW w:w="3262" w:type="dxa"/>
            <w:vAlign w:val="top"/>
          </w:tcPr>
          <w:p>
            <w:pPr>
              <w:spacing w:line="257" w:lineRule="auto"/>
              <w:rPr>
                <w:rFonts w:hint="eastAsia" w:ascii="微软雅黑" w:hAnsi="微软雅黑" w:eastAsia="微软雅黑" w:cs="微软雅黑"/>
                <w:spacing w:val="0"/>
                <w:sz w:val="22"/>
                <w:szCs w:val="22"/>
              </w:rPr>
            </w:pPr>
          </w:p>
          <w:p>
            <w:pPr>
              <w:spacing w:line="257" w:lineRule="auto"/>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rPr>
              <w:t>学前教育毛入园率达到93%，九年义务教育巩固率达到96.7%，高中阶段毛入学率达到92.9%。</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区教育局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6"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leftChars="0" w:firstLine="0" w:firstLineChars="0"/>
              <w:jc w:val="both"/>
              <w:rPr>
                <w:rFonts w:hint="eastAsia" w:ascii="微软雅黑" w:hAnsi="微软雅黑" w:eastAsia="微软雅黑" w:cs="微软雅黑"/>
                <w:spacing w:val="0"/>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34</w:t>
            </w:r>
          </w:p>
        </w:tc>
        <w:tc>
          <w:tcPr>
            <w:tcW w:w="875"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包容普惠创新</w:t>
            </w:r>
          </w:p>
        </w:tc>
        <w:tc>
          <w:tcPr>
            <w:tcW w:w="1828"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提升基本医疗保险参保率</w:t>
            </w:r>
          </w:p>
        </w:tc>
        <w:tc>
          <w:tcPr>
            <w:tcW w:w="3262" w:type="dxa"/>
            <w:vAlign w:val="top"/>
          </w:tcPr>
          <w:p>
            <w:pPr>
              <w:spacing w:line="257" w:lineRule="auto"/>
              <w:rPr>
                <w:rFonts w:hint="eastAsia" w:ascii="微软雅黑" w:hAnsi="微软雅黑" w:eastAsia="微软雅黑" w:cs="微软雅黑"/>
                <w:spacing w:val="0"/>
                <w:sz w:val="22"/>
                <w:szCs w:val="22"/>
              </w:rPr>
            </w:pPr>
          </w:p>
          <w:p>
            <w:pPr>
              <w:spacing w:line="257" w:lineRule="auto"/>
              <w:rPr>
                <w:rFonts w:hint="eastAsia" w:ascii="微软雅黑" w:hAnsi="微软雅黑" w:eastAsia="微软雅黑" w:cs="微软雅黑"/>
                <w:spacing w:val="0"/>
                <w:sz w:val="22"/>
                <w:szCs w:val="22"/>
              </w:rPr>
            </w:pPr>
          </w:p>
          <w:p>
            <w:pPr>
              <w:spacing w:line="257" w:lineRule="auto"/>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rPr>
              <w:t>基本医疗保险参保率稳定保持在97%及以上。</w:t>
            </w:r>
          </w:p>
        </w:tc>
        <w:tc>
          <w:tcPr>
            <w:tcW w:w="1732"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区医保局</w:t>
            </w:r>
          </w:p>
        </w:tc>
        <w:tc>
          <w:tcPr>
            <w:tcW w:w="1927"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各有关单位</w:t>
            </w:r>
          </w:p>
        </w:tc>
      </w:tr>
    </w:tbl>
    <w:p>
      <w:pPr>
        <w:spacing w:before="0" w:line="257" w:lineRule="auto"/>
        <w:rPr>
          <w:rFonts w:hint="eastAsia" w:ascii="微软雅黑" w:hAnsi="微软雅黑" w:eastAsia="微软雅黑" w:cs="微软雅黑"/>
          <w:sz w:val="22"/>
          <w:szCs w:val="22"/>
        </w:rPr>
      </w:pPr>
    </w:p>
    <w:p>
      <w:pPr>
        <w:spacing w:line="257" w:lineRule="auto"/>
        <w:rPr>
          <w:rFonts w:hint="eastAsia" w:ascii="微软雅黑" w:hAnsi="微软雅黑" w:eastAsia="微软雅黑" w:cs="微软雅黑"/>
          <w:sz w:val="22"/>
          <w:szCs w:val="22"/>
        </w:rPr>
        <w:sectPr>
          <w:footerReference r:id="rId43" w:type="default"/>
          <w:pgSz w:w="16838" w:h="11906"/>
          <w:pgMar w:top="400" w:right="2203" w:bottom="1514" w:left="2104"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0" w:hRule="atLeast"/>
        </w:trPr>
        <w:tc>
          <w:tcPr>
            <w:tcW w:w="715" w:type="dxa"/>
            <w:vAlign w:val="top"/>
          </w:tcPr>
          <w:p>
            <w:pPr>
              <w:spacing w:before="0" w:line="257" w:lineRule="auto"/>
              <w:ind w:left="0" w:firstLine="0" w:firstLineChars="0"/>
              <w:jc w:val="center"/>
              <w:rPr>
                <w:rFonts w:hint="eastAsia" w:ascii="微软雅黑" w:hAnsi="微软雅黑" w:eastAsia="微软雅黑" w:cs="微软雅黑"/>
                <w:spacing w:val="0"/>
                <w:sz w:val="22"/>
                <w:szCs w:val="22"/>
                <w:lang w:eastAsia="zh-CN"/>
              </w:rPr>
            </w:pPr>
          </w:p>
          <w:p>
            <w:pPr>
              <w:spacing w:before="0" w:line="257" w:lineRule="auto"/>
              <w:ind w:left="0" w:firstLine="0" w:firstLineChars="0"/>
              <w:jc w:val="center"/>
              <w:rPr>
                <w:rFonts w:hint="eastAsia" w:ascii="微软雅黑" w:hAnsi="微软雅黑" w:eastAsia="微软雅黑" w:cs="微软雅黑"/>
                <w:spacing w:val="0"/>
                <w:sz w:val="22"/>
                <w:szCs w:val="22"/>
                <w:lang w:eastAsia="zh-CN"/>
              </w:rPr>
            </w:pPr>
          </w:p>
          <w:p>
            <w:pPr>
              <w:spacing w:before="0" w:line="257" w:lineRule="auto"/>
              <w:ind w:left="0" w:firstLine="0" w:firstLineChars="0"/>
              <w:jc w:val="center"/>
              <w:rPr>
                <w:rFonts w:hint="eastAsia" w:ascii="微软雅黑" w:hAnsi="微软雅黑" w:eastAsia="微软雅黑" w:cs="微软雅黑"/>
                <w:spacing w:val="0"/>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35</w:t>
            </w:r>
          </w:p>
        </w:tc>
        <w:tc>
          <w:tcPr>
            <w:tcW w:w="875" w:type="dxa"/>
            <w:vAlign w:val="top"/>
          </w:tcPr>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br w:type="textWrapping"/>
            </w:r>
            <w:r>
              <w:rPr>
                <w:rFonts w:hint="eastAsia" w:ascii="微软雅黑" w:hAnsi="微软雅黑" w:eastAsia="微软雅黑" w:cs="微软雅黑"/>
                <w:spacing w:val="0"/>
                <w:sz w:val="22"/>
                <w:szCs w:val="22"/>
                <w:lang w:eastAsia="zh-CN"/>
              </w:rPr>
              <w:br w:type="textWrapping"/>
            </w:r>
            <w:r>
              <w:rPr>
                <w:rFonts w:hint="eastAsia" w:ascii="微软雅黑" w:hAnsi="微软雅黑" w:eastAsia="微软雅黑" w:cs="微软雅黑"/>
                <w:spacing w:val="0"/>
                <w:sz w:val="22"/>
                <w:szCs w:val="22"/>
                <w:lang w:eastAsia="zh-CN"/>
              </w:rPr>
              <w:br w:type="textWrapping"/>
            </w:r>
            <w:r>
              <w:rPr>
                <w:rFonts w:hint="eastAsia" w:ascii="微软雅黑" w:hAnsi="微软雅黑" w:eastAsia="微软雅黑" w:cs="微软雅黑"/>
                <w:spacing w:val="0"/>
                <w:sz w:val="22"/>
                <w:szCs w:val="22"/>
                <w:lang w:eastAsia="zh-CN"/>
              </w:rPr>
              <w:t>包容普惠</w:t>
            </w:r>
          </w:p>
        </w:tc>
        <w:tc>
          <w:tcPr>
            <w:tcW w:w="1828" w:type="dxa"/>
            <w:vAlign w:val="top"/>
          </w:tcPr>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br w:type="textWrapping"/>
            </w: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br w:type="textWrapping"/>
            </w:r>
            <w:r>
              <w:rPr>
                <w:rFonts w:hint="eastAsia" w:ascii="微软雅黑" w:hAnsi="微软雅黑" w:eastAsia="微软雅黑" w:cs="微软雅黑"/>
                <w:spacing w:val="0"/>
                <w:sz w:val="22"/>
                <w:szCs w:val="22"/>
                <w:lang w:eastAsia="zh-CN"/>
              </w:rPr>
              <w:t>加强卫生人才队伍建设创新</w:t>
            </w:r>
          </w:p>
        </w:tc>
        <w:tc>
          <w:tcPr>
            <w:tcW w:w="3262" w:type="dxa"/>
            <w:vAlign w:val="top"/>
          </w:tcPr>
          <w:p>
            <w:pPr>
              <w:spacing w:line="257" w:lineRule="auto"/>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1.每千人口医疗卫生机构床位数比2022年度增长1.5%。</w:t>
            </w:r>
            <w:r>
              <w:rPr>
                <w:rFonts w:hint="eastAsia" w:ascii="微软雅黑" w:hAnsi="微软雅黑" w:eastAsia="微软雅黑" w:cs="微软雅黑"/>
                <w:spacing w:val="0"/>
                <w:sz w:val="22"/>
                <w:szCs w:val="22"/>
              </w:rPr>
              <w:br w:type="textWrapping"/>
            </w:r>
            <w:r>
              <w:rPr>
                <w:rFonts w:hint="eastAsia" w:ascii="微软雅黑" w:hAnsi="微软雅黑" w:eastAsia="微软雅黑" w:cs="微软雅黑"/>
                <w:spacing w:val="0"/>
                <w:sz w:val="22"/>
                <w:szCs w:val="22"/>
              </w:rPr>
              <w:t>2.每千人口拥有执业（助理）医师数比2022年度增长1%。</w:t>
            </w:r>
          </w:p>
          <w:p>
            <w:pPr>
              <w:spacing w:line="257" w:lineRule="auto"/>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3.每千人口注册护士数比2022年度增长1%。</w:t>
            </w:r>
          </w:p>
        </w:tc>
        <w:tc>
          <w:tcPr>
            <w:tcW w:w="1732"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2023年12月31日</w:t>
            </w:r>
          </w:p>
        </w:tc>
        <w:tc>
          <w:tcPr>
            <w:tcW w:w="2087"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区卫健局</w:t>
            </w:r>
          </w:p>
        </w:tc>
        <w:tc>
          <w:tcPr>
            <w:tcW w:w="1927"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4" w:hRule="atLeast"/>
        </w:trPr>
        <w:tc>
          <w:tcPr>
            <w:tcW w:w="715" w:type="dxa"/>
            <w:vAlign w:val="top"/>
          </w:tcPr>
          <w:p>
            <w:pPr>
              <w:spacing w:line="257" w:lineRule="auto"/>
              <w:ind w:firstLine="0" w:firstLineChars="0"/>
              <w:jc w:val="both"/>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36</w:t>
            </w:r>
          </w:p>
        </w:tc>
        <w:tc>
          <w:tcPr>
            <w:tcW w:w="875"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包容普惠创新</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提升基本公共服务水平</w:t>
            </w:r>
          </w:p>
        </w:tc>
        <w:tc>
          <w:tcPr>
            <w:tcW w:w="3262" w:type="dxa"/>
            <w:vAlign w:val="top"/>
          </w:tcPr>
          <w:p>
            <w:pPr>
              <w:spacing w:line="257" w:lineRule="auto"/>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提升新建城区、居住（小）区配套养老服务设施覆盖率，力争年内达到70%。</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区住建局、自然资源局</w:t>
            </w:r>
          </w:p>
        </w:tc>
        <w:tc>
          <w:tcPr>
            <w:tcW w:w="1927"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区民政局、发改局</w:t>
            </w:r>
            <w:r>
              <w:rPr>
                <w:rFonts w:hint="eastAsia" w:ascii="微软雅黑" w:hAnsi="微软雅黑" w:eastAsia="微软雅黑" w:cs="微软雅黑"/>
                <w:sz w:val="22"/>
                <w:szCs w:val="22"/>
                <w:lang w:eastAsia="zh-CN"/>
              </w:rPr>
              <w:t>，各有关单位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37</w:t>
            </w:r>
          </w:p>
        </w:tc>
        <w:tc>
          <w:tcPr>
            <w:tcW w:w="875"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包容普惠创新</w:t>
            </w:r>
          </w:p>
        </w:tc>
        <w:tc>
          <w:tcPr>
            <w:tcW w:w="1828"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完善公共服务体系要素支撑</w:t>
            </w:r>
          </w:p>
        </w:tc>
        <w:tc>
          <w:tcPr>
            <w:tcW w:w="3262" w:type="dxa"/>
            <w:vAlign w:val="top"/>
          </w:tcPr>
          <w:p>
            <w:pPr>
              <w:spacing w:line="257" w:lineRule="auto"/>
              <w:rPr>
                <w:rFonts w:hint="eastAsia" w:ascii="微软雅黑" w:hAnsi="微软雅黑" w:eastAsia="微软雅黑" w:cs="微软雅黑"/>
                <w:sz w:val="22"/>
                <w:szCs w:val="22"/>
              </w:rPr>
            </w:pPr>
          </w:p>
          <w:p>
            <w:pPr>
              <w:spacing w:line="257" w:lineRule="auto"/>
              <w:rPr>
                <w:rFonts w:hint="eastAsia" w:ascii="微软雅黑" w:hAnsi="微软雅黑" w:eastAsia="微软雅黑" w:cs="微软雅黑"/>
                <w:spacing w:val="0"/>
                <w:sz w:val="22"/>
                <w:szCs w:val="22"/>
              </w:rPr>
            </w:pPr>
            <w:r>
              <w:rPr>
                <w:rFonts w:hint="eastAsia" w:ascii="微软雅黑" w:hAnsi="微软雅黑" w:eastAsia="微软雅黑" w:cs="微软雅黑"/>
                <w:sz w:val="22"/>
                <w:szCs w:val="22"/>
              </w:rPr>
              <w:t>全</w:t>
            </w:r>
            <w:r>
              <w:rPr>
                <w:rFonts w:hint="eastAsia" w:ascii="微软雅黑" w:hAnsi="微软雅黑" w:eastAsia="微软雅黑" w:cs="微软雅黑"/>
                <w:sz w:val="22"/>
                <w:szCs w:val="22"/>
                <w:lang w:eastAsia="zh-CN"/>
              </w:rPr>
              <w:t>区</w:t>
            </w:r>
            <w:r>
              <w:rPr>
                <w:rFonts w:hint="eastAsia" w:ascii="微软雅黑" w:hAnsi="微软雅黑" w:eastAsia="微软雅黑" w:cs="微软雅黑"/>
                <w:sz w:val="22"/>
                <w:szCs w:val="22"/>
              </w:rPr>
              <w:t>人均体育场地面积3.0平方</w:t>
            </w:r>
            <w:r>
              <w:rPr>
                <w:rFonts w:hint="eastAsia" w:ascii="微软雅黑" w:hAnsi="微软雅黑" w:eastAsia="微软雅黑" w:cs="微软雅黑"/>
                <w:spacing w:val="0"/>
                <w:sz w:val="22"/>
                <w:szCs w:val="22"/>
              </w:rPr>
              <w:t>米以上。</w:t>
            </w:r>
          </w:p>
        </w:tc>
        <w:tc>
          <w:tcPr>
            <w:tcW w:w="1732"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文体广旅局</w:t>
            </w:r>
          </w:p>
        </w:tc>
        <w:tc>
          <w:tcPr>
            <w:tcW w:w="1927"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5"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38</w:t>
            </w:r>
          </w:p>
        </w:tc>
        <w:tc>
          <w:tcPr>
            <w:tcW w:w="875"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包容普惠创新</w:t>
            </w:r>
          </w:p>
        </w:tc>
        <w:tc>
          <w:tcPr>
            <w:tcW w:w="1828"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加强公共文化服务供给</w:t>
            </w:r>
          </w:p>
        </w:tc>
        <w:tc>
          <w:tcPr>
            <w:tcW w:w="3262" w:type="dxa"/>
            <w:vAlign w:val="top"/>
          </w:tcPr>
          <w:p>
            <w:pPr>
              <w:spacing w:line="257" w:lineRule="auto"/>
              <w:rPr>
                <w:rFonts w:hint="eastAsia" w:ascii="微软雅黑" w:hAnsi="微软雅黑" w:eastAsia="微软雅黑" w:cs="微软雅黑"/>
                <w:spacing w:val="0"/>
                <w:sz w:val="22"/>
                <w:szCs w:val="22"/>
              </w:rPr>
            </w:pPr>
          </w:p>
          <w:p>
            <w:pPr>
              <w:spacing w:line="257" w:lineRule="auto"/>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搭建公共文化云平台（广西数字文化馆），实现</w:t>
            </w:r>
            <w:r>
              <w:rPr>
                <w:rFonts w:hint="eastAsia" w:ascii="微软雅黑" w:hAnsi="微软雅黑" w:eastAsia="微软雅黑" w:cs="微软雅黑"/>
                <w:spacing w:val="0"/>
                <w:sz w:val="22"/>
                <w:szCs w:val="22"/>
                <w:lang w:eastAsia="zh-CN"/>
              </w:rPr>
              <w:t>区</w:t>
            </w:r>
            <w:r>
              <w:rPr>
                <w:rFonts w:hint="eastAsia" w:ascii="微软雅黑" w:hAnsi="微软雅黑" w:eastAsia="微软雅黑" w:cs="微软雅黑"/>
                <w:spacing w:val="0"/>
                <w:sz w:val="22"/>
                <w:szCs w:val="22"/>
              </w:rPr>
              <w:t>互联互通。</w:t>
            </w:r>
          </w:p>
        </w:tc>
        <w:tc>
          <w:tcPr>
            <w:tcW w:w="1732"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区文体广旅局</w:t>
            </w:r>
          </w:p>
        </w:tc>
        <w:tc>
          <w:tcPr>
            <w:tcW w:w="1927"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1"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39</w:t>
            </w:r>
          </w:p>
        </w:tc>
        <w:tc>
          <w:tcPr>
            <w:tcW w:w="875"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包容普惠创新</w:t>
            </w:r>
          </w:p>
        </w:tc>
        <w:tc>
          <w:tcPr>
            <w:tcW w:w="1828"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提升交通便捷程</w:t>
            </w:r>
            <w:r>
              <w:rPr>
                <w:rFonts w:hint="eastAsia" w:ascii="微软雅黑" w:hAnsi="微软雅黑" w:eastAsia="微软雅黑" w:cs="微软雅黑"/>
                <w:sz w:val="22"/>
                <w:szCs w:val="22"/>
                <w:lang w:eastAsia="zh-CN"/>
              </w:rPr>
              <w:t>度</w:t>
            </w:r>
          </w:p>
        </w:tc>
        <w:tc>
          <w:tcPr>
            <w:tcW w:w="3262" w:type="dxa"/>
            <w:vAlign w:val="top"/>
          </w:tcPr>
          <w:p>
            <w:pPr>
              <w:spacing w:line="257" w:lineRule="auto"/>
              <w:rPr>
                <w:rFonts w:hint="eastAsia" w:ascii="微软雅黑" w:hAnsi="微软雅黑" w:eastAsia="微软雅黑" w:cs="微软雅黑"/>
                <w:spacing w:val="0"/>
                <w:sz w:val="22"/>
                <w:szCs w:val="22"/>
                <w:lang w:eastAsia="zh-CN"/>
              </w:rPr>
            </w:pPr>
          </w:p>
          <w:p>
            <w:pPr>
              <w:spacing w:line="257" w:lineRule="auto"/>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lang w:eastAsia="zh-CN"/>
              </w:rPr>
              <w:t>配合市级</w:t>
            </w:r>
            <w:r>
              <w:rPr>
                <w:rFonts w:hint="eastAsia" w:ascii="微软雅黑" w:hAnsi="微软雅黑" w:eastAsia="微软雅黑" w:cs="微软雅黑"/>
                <w:spacing w:val="0"/>
                <w:sz w:val="22"/>
                <w:szCs w:val="22"/>
              </w:rPr>
              <w:t>新增和更新新能源公交车比例达到90%。</w:t>
            </w:r>
          </w:p>
        </w:tc>
        <w:tc>
          <w:tcPr>
            <w:tcW w:w="1732"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区交通运输局</w:t>
            </w:r>
          </w:p>
        </w:tc>
        <w:tc>
          <w:tcPr>
            <w:tcW w:w="1927" w:type="dxa"/>
            <w:vAlign w:val="top"/>
          </w:tcPr>
          <w:p>
            <w:pPr>
              <w:spacing w:line="257" w:lineRule="auto"/>
              <w:jc w:val="center"/>
              <w:rPr>
                <w:rFonts w:hint="eastAsia" w:ascii="微软雅黑" w:hAnsi="微软雅黑" w:eastAsia="微软雅黑" w:cs="微软雅黑"/>
                <w:spacing w:val="0"/>
                <w:sz w:val="22"/>
                <w:szCs w:val="22"/>
                <w:lang w:eastAsia="zh-CN"/>
              </w:rPr>
            </w:pPr>
          </w:p>
        </w:tc>
      </w:tr>
    </w:tbl>
    <w:p>
      <w:pPr>
        <w:spacing w:line="257" w:lineRule="auto"/>
        <w:rPr>
          <w:rFonts w:hint="eastAsia" w:ascii="微软雅黑" w:hAnsi="微软雅黑" w:eastAsia="微软雅黑" w:cs="微软雅黑"/>
          <w:sz w:val="22"/>
          <w:szCs w:val="22"/>
        </w:rPr>
        <w:sectPr>
          <w:footerReference r:id="rId44" w:type="default"/>
          <w:pgSz w:w="16838" w:h="11906"/>
          <w:pgMar w:top="400" w:right="2104" w:bottom="1514" w:left="2203"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40</w:t>
            </w:r>
          </w:p>
        </w:tc>
        <w:tc>
          <w:tcPr>
            <w:tcW w:w="875"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包容普惠创新</w:t>
            </w:r>
          </w:p>
        </w:tc>
        <w:tc>
          <w:tcPr>
            <w:tcW w:w="1828"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持续加强生态环境保护</w:t>
            </w:r>
          </w:p>
        </w:tc>
        <w:tc>
          <w:tcPr>
            <w:tcW w:w="3262" w:type="dxa"/>
            <w:vAlign w:val="top"/>
          </w:tcPr>
          <w:p>
            <w:pPr>
              <w:spacing w:line="257" w:lineRule="auto"/>
              <w:rPr>
                <w:rFonts w:hint="eastAsia" w:ascii="微软雅黑" w:hAnsi="微软雅黑" w:eastAsia="微软雅黑" w:cs="微软雅黑"/>
                <w:spacing w:val="0"/>
                <w:sz w:val="22"/>
                <w:szCs w:val="22"/>
              </w:rPr>
            </w:pPr>
          </w:p>
          <w:p>
            <w:pPr>
              <w:spacing w:line="257" w:lineRule="auto"/>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稳步提升柳州城市生活污水集中收集率达到65%目标。</w:t>
            </w:r>
          </w:p>
        </w:tc>
        <w:tc>
          <w:tcPr>
            <w:tcW w:w="1732"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区住建局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41</w:t>
            </w:r>
          </w:p>
        </w:tc>
        <w:tc>
          <w:tcPr>
            <w:tcW w:w="875"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包容普惠创新</w:t>
            </w:r>
          </w:p>
        </w:tc>
        <w:tc>
          <w:tcPr>
            <w:tcW w:w="1828"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持续加强生态环境保护</w:t>
            </w:r>
          </w:p>
        </w:tc>
        <w:tc>
          <w:tcPr>
            <w:tcW w:w="3262" w:type="dxa"/>
            <w:vAlign w:val="top"/>
          </w:tcPr>
          <w:p>
            <w:pPr>
              <w:spacing w:line="257" w:lineRule="auto"/>
              <w:rPr>
                <w:rFonts w:hint="eastAsia" w:ascii="微软雅黑" w:hAnsi="微软雅黑" w:eastAsia="微软雅黑" w:cs="微软雅黑"/>
                <w:spacing w:val="0"/>
                <w:sz w:val="22"/>
                <w:szCs w:val="22"/>
              </w:rPr>
            </w:pPr>
          </w:p>
          <w:p>
            <w:pPr>
              <w:spacing w:line="257" w:lineRule="auto"/>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柳</w:t>
            </w:r>
            <w:r>
              <w:rPr>
                <w:rFonts w:hint="eastAsia" w:ascii="微软雅黑" w:hAnsi="微软雅黑" w:eastAsia="微软雅黑" w:cs="微软雅黑"/>
                <w:spacing w:val="0"/>
                <w:sz w:val="22"/>
                <w:szCs w:val="22"/>
                <w:lang w:eastAsia="zh-CN"/>
              </w:rPr>
              <w:t>北区</w:t>
            </w:r>
            <w:r>
              <w:rPr>
                <w:rFonts w:hint="eastAsia" w:ascii="微软雅黑" w:hAnsi="微软雅黑" w:eastAsia="微软雅黑" w:cs="微软雅黑"/>
                <w:spacing w:val="0"/>
                <w:sz w:val="22"/>
                <w:szCs w:val="22"/>
              </w:rPr>
              <w:t>（</w:t>
            </w:r>
            <w:r>
              <w:rPr>
                <w:rFonts w:hint="eastAsia" w:ascii="微软雅黑" w:hAnsi="微软雅黑" w:eastAsia="微软雅黑" w:cs="微软雅黑"/>
                <w:spacing w:val="0"/>
                <w:sz w:val="22"/>
                <w:szCs w:val="22"/>
                <w:lang w:eastAsia="zh-CN"/>
              </w:rPr>
              <w:t>区</w:t>
            </w:r>
            <w:r>
              <w:rPr>
                <w:rFonts w:hint="eastAsia" w:ascii="微软雅黑" w:hAnsi="微软雅黑" w:eastAsia="微软雅黑" w:cs="微软雅黑"/>
                <w:spacing w:val="0"/>
                <w:sz w:val="22"/>
                <w:szCs w:val="22"/>
              </w:rPr>
              <w:t>域）重度污染天数比例降至0%。</w:t>
            </w:r>
          </w:p>
        </w:tc>
        <w:tc>
          <w:tcPr>
            <w:tcW w:w="1732"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柳北生态环境局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5"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42</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推动建设优质工程、</w:t>
            </w:r>
            <w:r>
              <w:rPr>
                <w:rFonts w:hint="eastAsia" w:ascii="微软雅黑" w:hAnsi="微软雅黑" w:eastAsia="微软雅黑" w:cs="微软雅黑"/>
                <w:spacing w:val="0"/>
                <w:w w:val="100"/>
                <w:sz w:val="22"/>
                <w:szCs w:val="22"/>
                <w:lang w:eastAsia="zh-CN"/>
              </w:rPr>
              <w:t>绿色</w:t>
            </w:r>
            <w:r>
              <w:rPr>
                <w:rFonts w:hint="eastAsia" w:ascii="微软雅黑" w:hAnsi="微软雅黑" w:eastAsia="微软雅黑" w:cs="微软雅黑"/>
                <w:spacing w:val="0"/>
                <w:sz w:val="22"/>
                <w:szCs w:val="22"/>
                <w:lang w:eastAsia="zh-CN"/>
              </w:rPr>
              <w:t>工程、</w:t>
            </w:r>
            <w:r>
              <w:rPr>
                <w:rFonts w:hint="eastAsia" w:ascii="微软雅黑" w:hAnsi="微软雅黑" w:eastAsia="微软雅黑" w:cs="微软雅黑"/>
                <w:spacing w:val="0"/>
                <w:w w:val="100"/>
                <w:sz w:val="22"/>
                <w:szCs w:val="22"/>
                <w:lang w:eastAsia="zh-CN"/>
              </w:rPr>
              <w:t>廉洁</w:t>
            </w:r>
            <w:r>
              <w:rPr>
                <w:rFonts w:hint="eastAsia" w:ascii="微软雅黑" w:hAnsi="微软雅黑" w:eastAsia="微软雅黑" w:cs="微软雅黑"/>
                <w:spacing w:val="0"/>
                <w:sz w:val="22"/>
                <w:szCs w:val="22"/>
                <w:lang w:eastAsia="zh-CN"/>
              </w:rPr>
              <w:t>工程</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开展谋私贪腐问题专项整治工作</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深入开展领导干部利用职权或影响力插手工程项目谋私贪腐问题专项整治工作，盯住决策审批、招标投标、建设管理、质量监理、预算结算、竣工验收和物资采购等重要环节，瞄准“八种情形”，强化整改整治，健全权力运行制约和监督机制，铲除腐败滋生的土壤和条件，推动建设优质工程、绿色工程、廉洁工程，营造重实效、强实干、抓落实浓厚氛围。</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区纪委监委机关，人民法院，区人民检察院按职责分工负责</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市公安局柳北分局，财政局、审计局</w:t>
            </w:r>
          </w:p>
        </w:tc>
      </w:tr>
    </w:tbl>
    <w:p>
      <w:pPr>
        <w:spacing w:line="257" w:lineRule="auto"/>
        <w:rPr>
          <w:rFonts w:hint="eastAsia" w:ascii="微软雅黑" w:hAnsi="微软雅黑" w:eastAsia="微软雅黑" w:cs="微软雅黑"/>
          <w:sz w:val="22"/>
          <w:szCs w:val="22"/>
        </w:rPr>
        <w:sectPr>
          <w:footerReference r:id="rId45" w:type="default"/>
          <w:pgSz w:w="16838" w:h="11906"/>
          <w:pgMar w:top="400" w:right="2104" w:bottom="1514" w:left="2203"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2"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43</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保障</w:t>
            </w:r>
            <w:r>
              <w:rPr>
                <w:rFonts w:hint="eastAsia" w:ascii="微软雅黑" w:hAnsi="微软雅黑" w:eastAsia="微软雅黑" w:cs="微软雅黑"/>
                <w:spacing w:val="0"/>
                <w:sz w:val="22"/>
                <w:szCs w:val="22"/>
                <w:lang w:eastAsia="zh-CN"/>
              </w:rPr>
              <w:t>措施</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加强组织领导</w:t>
            </w:r>
          </w:p>
        </w:tc>
        <w:tc>
          <w:tcPr>
            <w:tcW w:w="3262" w:type="dxa"/>
            <w:vAlign w:val="top"/>
          </w:tcPr>
          <w:p>
            <w:pPr>
              <w:spacing w:line="257" w:lineRule="auto"/>
              <w:ind w:firstLine="3080" w:firstLineChars="1400"/>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lang w:val="en-US" w:eastAsia="zh-CN"/>
              </w:rPr>
              <w:t xml:space="preserve"> </w:t>
            </w:r>
            <w:r>
              <w:rPr>
                <w:rFonts w:hint="eastAsia" w:ascii="微软雅黑" w:hAnsi="微软雅黑" w:eastAsia="微软雅黑" w:cs="微软雅黑"/>
                <w:spacing w:val="0"/>
                <w:sz w:val="22"/>
                <w:szCs w:val="22"/>
              </w:rPr>
              <w:t>各级各部门要进一步提高优化营商环境的政治站位，强化责任担当，自觉把优化营商环境工作放到柳州市加快建设现代制造城、打造万亿工业强市和广西副中心城市的大局中去部署和落实。各有关单位要主动承担主体责任，认真执行本要点任务，明确责任分工和时间安排，切实履行职责。各指标牵头单位要负责做好相关指标的组织实施，确保改革措施落地见效，惠企政策精准落实，为企业和群众</w:t>
            </w:r>
            <w:r>
              <w:rPr>
                <w:rFonts w:hint="eastAsia" w:ascii="微软雅黑" w:hAnsi="微软雅黑" w:eastAsia="微软雅黑" w:cs="微软雅黑"/>
                <w:sz w:val="22"/>
                <w:szCs w:val="22"/>
              </w:rPr>
              <w:t>提供更加优质高效的服务。</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区发改局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6"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pacing w:val="0"/>
                <w:sz w:val="22"/>
                <w:szCs w:val="22"/>
                <w:lang w:eastAsia="zh-CN"/>
              </w:rPr>
            </w:pPr>
          </w:p>
          <w:p>
            <w:pPr>
              <w:spacing w:before="0" w:line="257" w:lineRule="auto"/>
              <w:ind w:left="0" w:firstLine="0" w:firstLineChars="0"/>
              <w:jc w:val="center"/>
              <w:rPr>
                <w:rFonts w:hint="eastAsia" w:ascii="微软雅黑" w:hAnsi="微软雅黑" w:eastAsia="微软雅黑" w:cs="微软雅黑"/>
                <w:spacing w:val="0"/>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44</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w w:val="100"/>
                <w:sz w:val="22"/>
                <w:szCs w:val="22"/>
                <w:lang w:eastAsia="zh-CN"/>
              </w:rPr>
            </w:pPr>
          </w:p>
          <w:p>
            <w:pPr>
              <w:spacing w:line="257" w:lineRule="auto"/>
              <w:jc w:val="center"/>
              <w:rPr>
                <w:rFonts w:hint="eastAsia" w:ascii="微软雅黑" w:hAnsi="微软雅黑" w:eastAsia="微软雅黑" w:cs="微软雅黑"/>
                <w:spacing w:val="0"/>
                <w:w w:val="100"/>
                <w:sz w:val="22"/>
                <w:szCs w:val="22"/>
                <w:lang w:eastAsia="zh-CN"/>
              </w:rPr>
            </w:pPr>
          </w:p>
          <w:p>
            <w:pPr>
              <w:spacing w:line="257" w:lineRule="auto"/>
              <w:jc w:val="center"/>
              <w:rPr>
                <w:rFonts w:hint="eastAsia" w:ascii="微软雅黑" w:hAnsi="微软雅黑" w:eastAsia="微软雅黑" w:cs="微软雅黑"/>
                <w:spacing w:val="0"/>
                <w:w w:val="10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保障</w:t>
            </w:r>
            <w:r>
              <w:rPr>
                <w:rFonts w:hint="eastAsia" w:ascii="微软雅黑" w:hAnsi="微软雅黑" w:eastAsia="微软雅黑" w:cs="微软雅黑"/>
                <w:spacing w:val="0"/>
                <w:sz w:val="22"/>
                <w:szCs w:val="22"/>
                <w:lang w:eastAsia="zh-CN"/>
              </w:rPr>
              <w:t>措施</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加强统筹协调</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进一步完善优化营商环境工作机制，充分发挥市优化营商环境工作领导小组办公室统筹协调作用，推动年度各项改革任务落地。优化政务服务、市场主体准入和退出、市场监管、知识产权保护、外资外贸、招商引资、民营企业发展等方面的营商环境</w:t>
            </w:r>
            <w:r>
              <w:rPr>
                <w:rFonts w:hint="eastAsia" w:ascii="微软雅黑" w:hAnsi="微软雅黑" w:eastAsia="微软雅黑" w:cs="微软雅黑"/>
                <w:spacing w:val="0"/>
                <w:sz w:val="22"/>
                <w:szCs w:val="22"/>
                <w:lang w:eastAsia="zh-CN"/>
              </w:rPr>
              <w:t>，</w:t>
            </w:r>
            <w:r>
              <w:rPr>
                <w:rFonts w:hint="eastAsia" w:ascii="微软雅黑" w:hAnsi="微软雅黑" w:eastAsia="微软雅黑" w:cs="微软雅黑"/>
                <w:spacing w:val="0"/>
                <w:sz w:val="22"/>
                <w:szCs w:val="22"/>
              </w:rPr>
              <w:t>明确目标任务和具体落实措施。</w:t>
            </w:r>
            <w:r>
              <w:rPr>
                <w:rFonts w:hint="eastAsia" w:ascii="微软雅黑" w:hAnsi="微软雅黑" w:eastAsia="微软雅黑" w:cs="微软雅黑"/>
                <w:spacing w:val="0"/>
                <w:sz w:val="22"/>
                <w:szCs w:val="22"/>
                <w:lang w:eastAsia="zh-CN"/>
              </w:rPr>
              <w:t>各镇、街道</w:t>
            </w:r>
            <w:r>
              <w:rPr>
                <w:rFonts w:hint="eastAsia" w:ascii="微软雅黑" w:hAnsi="微软雅黑" w:eastAsia="微软雅黑" w:cs="微软雅黑"/>
                <w:spacing w:val="0"/>
                <w:sz w:val="22"/>
                <w:szCs w:val="22"/>
              </w:rPr>
              <w:t>要贯彻落实全</w:t>
            </w:r>
            <w:r>
              <w:rPr>
                <w:rFonts w:hint="eastAsia" w:ascii="微软雅黑" w:hAnsi="微软雅黑" w:eastAsia="微软雅黑" w:cs="微软雅黑"/>
                <w:spacing w:val="0"/>
                <w:sz w:val="22"/>
                <w:szCs w:val="22"/>
                <w:lang w:eastAsia="zh-CN"/>
              </w:rPr>
              <w:t>区</w:t>
            </w:r>
            <w:r>
              <w:rPr>
                <w:rFonts w:hint="eastAsia" w:ascii="微软雅黑" w:hAnsi="微软雅黑" w:eastAsia="微软雅黑" w:cs="微软雅黑"/>
                <w:spacing w:val="0"/>
                <w:sz w:val="22"/>
                <w:szCs w:val="22"/>
              </w:rPr>
              <w:t>营商环境工作统一部署，结合实际研提具体落实举措，最大限度利企便民，更</w:t>
            </w:r>
            <w:r>
              <w:rPr>
                <w:rFonts w:hint="eastAsia" w:ascii="微软雅黑" w:hAnsi="微软雅黑" w:eastAsia="微软雅黑" w:cs="微软雅黑"/>
                <w:sz w:val="22"/>
                <w:szCs w:val="22"/>
              </w:rPr>
              <w:t>好服务经济社会发展大局。</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区发改局、商务局、市场监管局、</w:t>
            </w:r>
            <w:r>
              <w:rPr>
                <w:rFonts w:hint="eastAsia" w:ascii="微软雅黑" w:hAnsi="微软雅黑" w:eastAsia="微软雅黑" w:cs="微软雅黑"/>
                <w:spacing w:val="0"/>
                <w:sz w:val="22"/>
                <w:szCs w:val="22"/>
                <w:lang w:eastAsia="zh-CN"/>
              </w:rPr>
              <w:t>投促局、工商联按职责分工负责</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6"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45</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w w:val="100"/>
                <w:sz w:val="22"/>
                <w:szCs w:val="22"/>
                <w:lang w:eastAsia="zh-CN"/>
              </w:rPr>
            </w:pPr>
            <w:r>
              <w:rPr>
                <w:rFonts w:hint="eastAsia" w:ascii="微软雅黑" w:hAnsi="微软雅黑" w:eastAsia="微软雅黑" w:cs="微软雅黑"/>
                <w:spacing w:val="0"/>
                <w:w w:val="100"/>
                <w:sz w:val="22"/>
                <w:szCs w:val="22"/>
                <w:lang w:eastAsia="zh-CN"/>
              </w:rPr>
              <w:t>保障</w:t>
            </w:r>
            <w:r>
              <w:rPr>
                <w:rFonts w:hint="eastAsia" w:ascii="微软雅黑" w:hAnsi="微软雅黑" w:eastAsia="微软雅黑" w:cs="微软雅黑"/>
                <w:spacing w:val="0"/>
                <w:sz w:val="22"/>
                <w:szCs w:val="22"/>
                <w:lang w:eastAsia="zh-CN"/>
              </w:rPr>
              <w:t>措施</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深化改革创新</w:t>
            </w:r>
          </w:p>
        </w:tc>
        <w:tc>
          <w:tcPr>
            <w:tcW w:w="3262" w:type="dxa"/>
            <w:vAlign w:val="top"/>
          </w:tcPr>
          <w:p>
            <w:pPr>
              <w:spacing w:line="257" w:lineRule="auto"/>
              <w:jc w:val="left"/>
              <w:rPr>
                <w:rFonts w:hint="eastAsia" w:ascii="微软雅黑" w:hAnsi="微软雅黑" w:eastAsia="微软雅黑" w:cs="微软雅黑"/>
                <w:spacing w:val="0"/>
                <w:sz w:val="22"/>
                <w:szCs w:val="22"/>
              </w:rPr>
            </w:pPr>
          </w:p>
          <w:p>
            <w:pPr>
              <w:spacing w:line="257" w:lineRule="auto"/>
              <w:jc w:val="left"/>
              <w:rPr>
                <w:rFonts w:hint="eastAsia" w:ascii="微软雅黑" w:hAnsi="微软雅黑" w:eastAsia="微软雅黑" w:cs="微软雅黑"/>
                <w:spacing w:val="0"/>
                <w:sz w:val="22"/>
                <w:szCs w:val="22"/>
              </w:rPr>
            </w:pPr>
          </w:p>
          <w:p>
            <w:pPr>
              <w:spacing w:line="257" w:lineRule="auto"/>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对标国内营商环境评价体系，推进试点突破，配合</w:t>
            </w:r>
            <w:r>
              <w:rPr>
                <w:rFonts w:hint="eastAsia" w:ascii="微软雅黑" w:hAnsi="微软雅黑" w:eastAsia="微软雅黑" w:cs="微软雅黑"/>
                <w:spacing w:val="0"/>
                <w:sz w:val="22"/>
                <w:szCs w:val="22"/>
                <w:lang w:eastAsia="zh-CN"/>
              </w:rPr>
              <w:t>柳州市</w:t>
            </w:r>
            <w:r>
              <w:rPr>
                <w:rFonts w:hint="eastAsia" w:ascii="微软雅黑" w:hAnsi="微软雅黑" w:eastAsia="微软雅黑" w:cs="微软雅黑"/>
                <w:spacing w:val="0"/>
                <w:sz w:val="22"/>
                <w:szCs w:val="22"/>
              </w:rPr>
              <w:t>打造一批具有广西特色的营商环境创新区，争创国家营商环境创新试点城市。</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w w:val="100"/>
                <w:sz w:val="22"/>
                <w:szCs w:val="22"/>
                <w:lang w:eastAsia="zh-CN"/>
              </w:rPr>
            </w:pPr>
            <w:r>
              <w:rPr>
                <w:rFonts w:hint="eastAsia" w:ascii="微软雅黑" w:hAnsi="微软雅黑" w:eastAsia="微软雅黑" w:cs="微软雅黑"/>
                <w:spacing w:val="0"/>
                <w:sz w:val="22"/>
                <w:szCs w:val="22"/>
                <w:lang w:eastAsia="zh-CN"/>
              </w:rPr>
              <w:t>区发改局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各有关单位</w:t>
            </w:r>
          </w:p>
        </w:tc>
      </w:tr>
    </w:tbl>
    <w:p>
      <w:pPr>
        <w:spacing w:line="257" w:lineRule="auto"/>
        <w:rPr>
          <w:rFonts w:hint="eastAsia" w:ascii="微软雅黑" w:hAnsi="微软雅黑" w:eastAsia="微软雅黑" w:cs="微软雅黑"/>
          <w:sz w:val="22"/>
          <w:szCs w:val="22"/>
        </w:rPr>
        <w:sectPr>
          <w:footerReference r:id="rId46" w:type="default"/>
          <w:pgSz w:w="16838" w:h="11906"/>
          <w:pgMar w:top="400" w:right="2203" w:bottom="1514" w:left="2104"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5"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46</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保障</w:t>
            </w:r>
            <w:r>
              <w:rPr>
                <w:rFonts w:hint="eastAsia" w:ascii="微软雅黑" w:hAnsi="微软雅黑" w:eastAsia="微软雅黑" w:cs="微软雅黑"/>
                <w:spacing w:val="0"/>
                <w:sz w:val="22"/>
                <w:szCs w:val="22"/>
                <w:lang w:eastAsia="zh-CN"/>
              </w:rPr>
              <w:t>措施</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构建亲清政商关</w:t>
            </w:r>
            <w:r>
              <w:rPr>
                <w:rFonts w:hint="eastAsia" w:ascii="微软雅黑" w:hAnsi="微软雅黑" w:eastAsia="微软雅黑" w:cs="微软雅黑"/>
                <w:sz w:val="22"/>
                <w:szCs w:val="22"/>
                <w:lang w:eastAsia="zh-CN"/>
              </w:rPr>
              <w:t>系</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构建亲清政商关系。发挥工商联对我</w:t>
            </w:r>
            <w:r>
              <w:rPr>
                <w:rFonts w:hint="eastAsia" w:ascii="微软雅黑" w:hAnsi="微软雅黑" w:eastAsia="微软雅黑" w:cs="微软雅黑"/>
                <w:spacing w:val="0"/>
                <w:sz w:val="22"/>
                <w:szCs w:val="22"/>
                <w:lang w:eastAsia="zh-CN"/>
              </w:rPr>
              <w:t>区</w:t>
            </w:r>
            <w:r>
              <w:rPr>
                <w:rFonts w:hint="eastAsia" w:ascii="微软雅黑" w:hAnsi="微软雅黑" w:eastAsia="微软雅黑" w:cs="微软雅黑"/>
                <w:spacing w:val="0"/>
                <w:sz w:val="22"/>
                <w:szCs w:val="22"/>
              </w:rPr>
              <w:t>民营企业联络、协调、</w:t>
            </w:r>
            <w:r>
              <w:rPr>
                <w:rFonts w:hint="eastAsia" w:ascii="微软雅黑" w:hAnsi="微软雅黑" w:eastAsia="微软雅黑" w:cs="微软雅黑"/>
                <w:sz w:val="22"/>
                <w:szCs w:val="22"/>
              </w:rPr>
              <w:t>宣传作用，配合开展民营经济领</w:t>
            </w:r>
            <w:r>
              <w:rPr>
                <w:rFonts w:hint="eastAsia" w:ascii="微软雅黑" w:hAnsi="微软雅黑" w:eastAsia="微软雅黑" w:cs="微软雅黑"/>
                <w:spacing w:val="0"/>
                <w:sz w:val="22"/>
                <w:szCs w:val="22"/>
              </w:rPr>
              <w:t>域营商环境观察工作。建立“亲清”服务企业管家制度。深入开展“优环境、入百园、进万企”行动，协调解决企</w:t>
            </w:r>
            <w:r>
              <w:rPr>
                <w:rFonts w:hint="eastAsia" w:ascii="微软雅黑" w:hAnsi="微软雅黑" w:eastAsia="微软雅黑" w:cs="微软雅黑"/>
                <w:sz w:val="22"/>
                <w:szCs w:val="22"/>
              </w:rPr>
              <w:t>业痛点堵点难点问题。建立健全</w:t>
            </w:r>
            <w:r>
              <w:rPr>
                <w:rFonts w:hint="eastAsia" w:ascii="微软雅黑" w:hAnsi="微软雅黑" w:eastAsia="微软雅黑" w:cs="微软雅黑"/>
                <w:spacing w:val="0"/>
                <w:sz w:val="22"/>
                <w:szCs w:val="22"/>
              </w:rPr>
              <w:t>“优化营商环境专线”工作机制，</w:t>
            </w:r>
            <w:r>
              <w:rPr>
                <w:rFonts w:hint="eastAsia" w:ascii="微软雅黑" w:hAnsi="微软雅黑" w:eastAsia="微软雅黑" w:cs="微软雅黑"/>
                <w:sz w:val="22"/>
                <w:szCs w:val="22"/>
              </w:rPr>
              <w:t>及时归集市场主体诉求，快速处置市场主体咨询、求助、投</w:t>
            </w:r>
            <w:r>
              <w:rPr>
                <w:rFonts w:hint="eastAsia" w:ascii="微软雅黑" w:hAnsi="微软雅黑" w:eastAsia="微软雅黑" w:cs="微软雅黑"/>
                <w:spacing w:val="0"/>
                <w:sz w:val="22"/>
                <w:szCs w:val="22"/>
              </w:rPr>
              <w:t>诉、举报、建议，实现企业投诉有反馈，为市场主体生产经营活动提供更多更优服务。</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区纪委、发改局、政务网络服务中心、工商联按职责分工负责</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2"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both"/>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47</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w w:val="100"/>
                <w:sz w:val="22"/>
                <w:szCs w:val="22"/>
                <w:lang w:eastAsia="zh-CN"/>
              </w:rPr>
            </w:pPr>
            <w:r>
              <w:rPr>
                <w:rFonts w:hint="eastAsia" w:ascii="微软雅黑" w:hAnsi="微软雅黑" w:eastAsia="微软雅黑" w:cs="微软雅黑"/>
                <w:spacing w:val="0"/>
                <w:w w:val="100"/>
                <w:sz w:val="22"/>
                <w:szCs w:val="22"/>
                <w:lang w:eastAsia="zh-CN"/>
              </w:rPr>
              <w:t>保障</w:t>
            </w:r>
            <w:r>
              <w:rPr>
                <w:rFonts w:hint="eastAsia" w:ascii="微软雅黑" w:hAnsi="微软雅黑" w:eastAsia="微软雅黑" w:cs="微软雅黑"/>
                <w:spacing w:val="0"/>
                <w:sz w:val="22"/>
                <w:szCs w:val="22"/>
                <w:lang w:eastAsia="zh-CN"/>
              </w:rPr>
              <w:t>措施</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优化广西营商环境“智管云”平台各项服务功能</w:t>
            </w:r>
          </w:p>
        </w:tc>
        <w:tc>
          <w:tcPr>
            <w:tcW w:w="3262" w:type="dxa"/>
            <w:vAlign w:val="top"/>
          </w:tcPr>
          <w:p>
            <w:pPr>
              <w:spacing w:line="257" w:lineRule="auto"/>
              <w:jc w:val="left"/>
              <w:rPr>
                <w:rFonts w:hint="eastAsia" w:ascii="微软雅黑" w:hAnsi="微软雅黑" w:eastAsia="微软雅黑" w:cs="微软雅黑"/>
                <w:spacing w:val="0"/>
                <w:sz w:val="22"/>
                <w:szCs w:val="22"/>
              </w:rPr>
            </w:pPr>
            <w:r>
              <w:rPr>
                <w:rFonts w:hint="eastAsia" w:ascii="微软雅黑" w:hAnsi="微软雅黑" w:eastAsia="微软雅黑" w:cs="微软雅黑"/>
                <w:spacing w:val="0"/>
                <w:sz w:val="22"/>
                <w:szCs w:val="22"/>
              </w:rPr>
              <w:t>配合</w:t>
            </w:r>
            <w:r>
              <w:rPr>
                <w:rFonts w:hint="eastAsia" w:ascii="微软雅黑" w:hAnsi="微软雅黑" w:eastAsia="微软雅黑" w:cs="微软雅黑"/>
                <w:spacing w:val="0"/>
                <w:sz w:val="22"/>
                <w:szCs w:val="22"/>
                <w:lang w:eastAsia="zh-CN"/>
              </w:rPr>
              <w:t>柳州市</w:t>
            </w:r>
            <w:r>
              <w:rPr>
                <w:rFonts w:hint="eastAsia" w:ascii="微软雅黑" w:hAnsi="微软雅黑" w:eastAsia="微软雅黑" w:cs="微软雅黑"/>
                <w:spacing w:val="0"/>
                <w:sz w:val="22"/>
                <w:szCs w:val="22"/>
              </w:rPr>
              <w:t>优化广西营商环境“智管云”平台各项服务功能，持</w:t>
            </w:r>
            <w:r>
              <w:rPr>
                <w:rFonts w:hint="eastAsia" w:ascii="微软雅黑" w:hAnsi="微软雅黑" w:eastAsia="微软雅黑" w:cs="微软雅黑"/>
                <w:sz w:val="22"/>
                <w:szCs w:val="22"/>
              </w:rPr>
              <w:t>续扩大平台应用范围。推动指标实现办理数据实时共享、常态化无感监测，推动事后评估逐步向事中监控转变，进一步提升解决</w:t>
            </w:r>
            <w:r>
              <w:rPr>
                <w:rFonts w:hint="eastAsia" w:ascii="微软雅黑" w:hAnsi="微软雅黑" w:eastAsia="微软雅黑" w:cs="微软雅黑"/>
                <w:spacing w:val="0"/>
                <w:sz w:val="22"/>
                <w:szCs w:val="22"/>
              </w:rPr>
              <w:t>各类市场主体诉求能力。</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区发改局</w:t>
            </w:r>
          </w:p>
        </w:tc>
        <w:tc>
          <w:tcPr>
            <w:tcW w:w="192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各有关单位</w:t>
            </w:r>
          </w:p>
        </w:tc>
      </w:tr>
    </w:tbl>
    <w:p>
      <w:pPr>
        <w:spacing w:line="257" w:lineRule="auto"/>
        <w:rPr>
          <w:rFonts w:hint="eastAsia" w:ascii="微软雅黑" w:hAnsi="微软雅黑" w:eastAsia="微软雅黑" w:cs="微软雅黑"/>
          <w:sz w:val="22"/>
          <w:szCs w:val="22"/>
        </w:rPr>
        <w:sectPr>
          <w:footerReference r:id="rId47" w:type="default"/>
          <w:pgSz w:w="16838" w:h="11906"/>
          <w:pgMar w:top="400" w:right="2104" w:bottom="1510" w:left="2203" w:header="0" w:footer="1282" w:gutter="0"/>
          <w:pgNumType w:fmt="numberInDash"/>
          <w:cols w:equalWidth="0" w:num="1">
            <w:col w:w="12531"/>
          </w:cols>
        </w:sectPr>
      </w:pPr>
    </w:p>
    <w:p>
      <w:pPr>
        <w:spacing w:before="0" w:line="257" w:lineRule="auto"/>
        <w:rPr>
          <w:rFonts w:hint="eastAsia" w:ascii="微软雅黑" w:hAnsi="微软雅黑" w:eastAsia="微软雅黑" w:cs="微软雅黑"/>
          <w:sz w:val="22"/>
          <w:szCs w:val="22"/>
        </w:rPr>
      </w:pPr>
    </w:p>
    <w:tbl>
      <w:tblPr>
        <w:tblStyle w:val="8"/>
        <w:tblW w:w="12426"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5"/>
        <w:gridCol w:w="875"/>
        <w:gridCol w:w="1828"/>
        <w:gridCol w:w="3262"/>
        <w:gridCol w:w="1732"/>
        <w:gridCol w:w="2087"/>
        <w:gridCol w:w="19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1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序号</w:t>
            </w:r>
          </w:p>
        </w:tc>
        <w:tc>
          <w:tcPr>
            <w:tcW w:w="875"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指标</w:t>
            </w:r>
          </w:p>
        </w:tc>
        <w:tc>
          <w:tcPr>
            <w:tcW w:w="1828"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改革方向</w:t>
            </w:r>
          </w:p>
        </w:tc>
        <w:tc>
          <w:tcPr>
            <w:tcW w:w="326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任务举措</w:t>
            </w:r>
          </w:p>
        </w:tc>
        <w:tc>
          <w:tcPr>
            <w:tcW w:w="1732"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完成时限</w:t>
            </w:r>
          </w:p>
        </w:tc>
        <w:tc>
          <w:tcPr>
            <w:tcW w:w="208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牵头单位</w:t>
            </w:r>
          </w:p>
        </w:tc>
        <w:tc>
          <w:tcPr>
            <w:tcW w:w="1927" w:type="dxa"/>
            <w:vAlign w:val="top"/>
          </w:tcPr>
          <w:p>
            <w:pPr>
              <w:spacing w:before="104" w:line="242" w:lineRule="auto"/>
              <w:ind w:left="138"/>
              <w:jc w:val="center"/>
              <w:rPr>
                <w:rFonts w:hint="eastAsia" w:ascii="微软雅黑" w:hAnsi="微软雅黑" w:eastAsia="微软雅黑" w:cs="微软雅黑"/>
                <w:spacing w:val="-1"/>
                <w:sz w:val="22"/>
                <w:szCs w:val="22"/>
              </w:rPr>
            </w:pPr>
            <w:r>
              <w:rPr>
                <w:rFonts w:hint="eastAsia" w:ascii="微软雅黑" w:hAnsi="微软雅黑" w:eastAsia="微软雅黑" w:cs="微软雅黑"/>
                <w:spacing w:val="-1"/>
                <w:sz w:val="22"/>
                <w:szCs w:val="22"/>
              </w:rPr>
              <w:t>配合单位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7" w:hRule="atLeast"/>
        </w:trPr>
        <w:tc>
          <w:tcPr>
            <w:tcW w:w="715" w:type="dxa"/>
            <w:vAlign w:val="top"/>
          </w:tcPr>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firstLine="0" w:firstLineChars="0"/>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48</w:t>
            </w:r>
          </w:p>
        </w:tc>
        <w:tc>
          <w:tcPr>
            <w:tcW w:w="875"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w w:val="100"/>
                <w:sz w:val="22"/>
                <w:szCs w:val="22"/>
                <w:lang w:eastAsia="zh-CN"/>
              </w:rPr>
              <w:t>保障</w:t>
            </w:r>
            <w:r>
              <w:rPr>
                <w:rFonts w:hint="eastAsia" w:ascii="微软雅黑" w:hAnsi="微软雅黑" w:eastAsia="微软雅黑" w:cs="微软雅黑"/>
                <w:spacing w:val="0"/>
                <w:sz w:val="22"/>
                <w:szCs w:val="22"/>
                <w:lang w:eastAsia="zh-CN"/>
              </w:rPr>
              <w:t>措施</w:t>
            </w:r>
          </w:p>
        </w:tc>
        <w:tc>
          <w:tcPr>
            <w:tcW w:w="1828"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强化督查考核</w:t>
            </w:r>
          </w:p>
        </w:tc>
        <w:tc>
          <w:tcPr>
            <w:tcW w:w="3262" w:type="dxa"/>
            <w:vAlign w:val="top"/>
          </w:tcPr>
          <w:p>
            <w:pPr>
              <w:spacing w:line="257" w:lineRule="auto"/>
              <w:jc w:val="left"/>
              <w:rPr>
                <w:rFonts w:hint="eastAsia" w:ascii="微软雅黑" w:hAnsi="微软雅黑" w:eastAsia="微软雅黑" w:cs="微软雅黑"/>
                <w:sz w:val="22"/>
                <w:szCs w:val="22"/>
              </w:rPr>
            </w:pPr>
            <w:r>
              <w:rPr>
                <w:rFonts w:hint="eastAsia" w:ascii="微软雅黑" w:hAnsi="微软雅黑" w:eastAsia="微软雅黑" w:cs="微软雅黑"/>
                <w:spacing w:val="0"/>
                <w:sz w:val="22"/>
                <w:szCs w:val="22"/>
              </w:rPr>
              <w:t>配合</w:t>
            </w:r>
            <w:r>
              <w:rPr>
                <w:rFonts w:hint="eastAsia" w:ascii="微软雅黑" w:hAnsi="微软雅黑" w:eastAsia="微软雅黑" w:cs="微软雅黑"/>
                <w:spacing w:val="0"/>
                <w:sz w:val="22"/>
                <w:szCs w:val="22"/>
                <w:lang w:eastAsia="zh-CN"/>
              </w:rPr>
              <w:t>柳州市</w:t>
            </w:r>
            <w:r>
              <w:rPr>
                <w:rFonts w:hint="eastAsia" w:ascii="微软雅黑" w:hAnsi="微软雅黑" w:eastAsia="微软雅黑" w:cs="微软雅黑"/>
                <w:spacing w:val="0"/>
                <w:sz w:val="22"/>
                <w:szCs w:val="22"/>
              </w:rPr>
              <w:t>通报我区十大正面典型案例和十大反面典型案例。进一步完善营商环境评价指标体系和评价工作，以评促改、以评促优，形成评价、反馈、整改有机衔接的工作闭环。持续开展优化营商环境绩效考评。</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区发改局</w:t>
            </w:r>
          </w:p>
        </w:tc>
        <w:tc>
          <w:tcPr>
            <w:tcW w:w="1927" w:type="dxa"/>
            <w:vAlign w:val="top"/>
          </w:tcPr>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pacing w:val="0"/>
                <w:sz w:val="22"/>
                <w:szCs w:val="22"/>
                <w:lang w:eastAsia="zh-CN"/>
              </w:rPr>
              <w:t>各有关单位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7" w:hRule="atLeast"/>
        </w:trPr>
        <w:tc>
          <w:tcPr>
            <w:tcW w:w="715" w:type="dxa"/>
            <w:vAlign w:val="top"/>
          </w:tcPr>
          <w:p>
            <w:pPr>
              <w:spacing w:line="257" w:lineRule="auto"/>
              <w:ind w:firstLine="0" w:firstLineChars="0"/>
              <w:jc w:val="both"/>
              <w:rPr>
                <w:rFonts w:hint="eastAsia" w:ascii="微软雅黑" w:hAnsi="微软雅黑" w:eastAsia="微软雅黑" w:cs="微软雅黑"/>
                <w:sz w:val="22"/>
                <w:szCs w:val="22"/>
                <w:lang w:eastAsia="zh-CN"/>
              </w:rPr>
            </w:pPr>
          </w:p>
          <w:p>
            <w:pPr>
              <w:spacing w:line="257" w:lineRule="auto"/>
              <w:ind w:firstLine="0" w:firstLineChars="0"/>
              <w:jc w:val="center"/>
              <w:rPr>
                <w:rFonts w:hint="eastAsia" w:ascii="微软雅黑" w:hAnsi="微软雅黑" w:eastAsia="微软雅黑" w:cs="微软雅黑"/>
                <w:sz w:val="22"/>
                <w:szCs w:val="22"/>
                <w:lang w:eastAsia="zh-CN"/>
              </w:rPr>
            </w:pPr>
          </w:p>
          <w:p>
            <w:pPr>
              <w:spacing w:before="0" w:line="257" w:lineRule="auto"/>
              <w:ind w:left="0" w:leftChars="0" w:firstLine="0" w:firstLineChars="0"/>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1</w:t>
            </w:r>
            <w:r>
              <w:rPr>
                <w:rFonts w:hint="eastAsia" w:ascii="微软雅黑" w:hAnsi="微软雅黑" w:eastAsia="微软雅黑" w:cs="微软雅黑"/>
                <w:spacing w:val="0"/>
                <w:sz w:val="22"/>
                <w:szCs w:val="22"/>
                <w:lang w:val="en-US" w:eastAsia="zh-CN"/>
              </w:rPr>
              <w:t>49</w:t>
            </w:r>
          </w:p>
        </w:tc>
        <w:tc>
          <w:tcPr>
            <w:tcW w:w="875" w:type="dxa"/>
            <w:vAlign w:val="top"/>
          </w:tcPr>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w w:val="100"/>
                <w:sz w:val="22"/>
                <w:szCs w:val="22"/>
                <w:lang w:eastAsia="zh-CN"/>
              </w:rPr>
            </w:pPr>
            <w:r>
              <w:rPr>
                <w:rFonts w:hint="eastAsia" w:ascii="微软雅黑" w:hAnsi="微软雅黑" w:eastAsia="微软雅黑" w:cs="微软雅黑"/>
                <w:spacing w:val="0"/>
                <w:w w:val="100"/>
                <w:sz w:val="22"/>
                <w:szCs w:val="22"/>
                <w:lang w:eastAsia="zh-CN"/>
              </w:rPr>
              <w:t>保障</w:t>
            </w:r>
            <w:r>
              <w:rPr>
                <w:rFonts w:hint="eastAsia" w:ascii="微软雅黑" w:hAnsi="微软雅黑" w:eastAsia="微软雅黑" w:cs="微软雅黑"/>
                <w:spacing w:val="0"/>
                <w:sz w:val="22"/>
                <w:szCs w:val="22"/>
                <w:lang w:eastAsia="zh-CN"/>
              </w:rPr>
              <w:t>措施</w:t>
            </w:r>
          </w:p>
        </w:tc>
        <w:tc>
          <w:tcPr>
            <w:tcW w:w="1828" w:type="dxa"/>
            <w:vAlign w:val="top"/>
          </w:tcPr>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加大宣传引导</w:t>
            </w:r>
          </w:p>
        </w:tc>
        <w:tc>
          <w:tcPr>
            <w:tcW w:w="3262" w:type="dxa"/>
            <w:vAlign w:val="top"/>
          </w:tcPr>
          <w:p>
            <w:pPr>
              <w:spacing w:line="257" w:lineRule="auto"/>
              <w:jc w:val="left"/>
              <w:rPr>
                <w:rFonts w:hint="eastAsia" w:ascii="微软雅黑" w:hAnsi="微软雅黑" w:eastAsia="微软雅黑" w:cs="微软雅黑"/>
                <w:spacing w:val="0"/>
                <w:sz w:val="20"/>
                <w:szCs w:val="20"/>
              </w:rPr>
            </w:pPr>
            <w:r>
              <w:rPr>
                <w:rFonts w:hint="eastAsia" w:ascii="微软雅黑" w:hAnsi="微软雅黑" w:eastAsia="微软雅黑" w:cs="微软雅黑"/>
                <w:spacing w:val="0"/>
                <w:sz w:val="20"/>
                <w:szCs w:val="20"/>
              </w:rPr>
              <w:t>大力宣传中央关于优化营商环境的决策部署，持续宣传柳</w:t>
            </w:r>
            <w:r>
              <w:rPr>
                <w:rFonts w:hint="eastAsia" w:ascii="微软雅黑" w:hAnsi="微软雅黑" w:eastAsia="微软雅黑" w:cs="微软雅黑"/>
                <w:spacing w:val="0"/>
                <w:sz w:val="20"/>
                <w:szCs w:val="20"/>
                <w:lang w:eastAsia="zh-CN"/>
              </w:rPr>
              <w:t>北</w:t>
            </w:r>
            <w:r>
              <w:rPr>
                <w:rFonts w:hint="eastAsia" w:ascii="微软雅黑" w:hAnsi="微软雅黑" w:eastAsia="微软雅黑" w:cs="微软雅黑"/>
                <w:spacing w:val="0"/>
                <w:sz w:val="20"/>
                <w:szCs w:val="20"/>
              </w:rPr>
              <w:t>优化营商环境的政策举措、改革成效、经验做法和典型案例。强化舆论引导，及时回应社会关切，解答公众疑问，正确引导社会预期，营造良好氛围。</w:t>
            </w:r>
          </w:p>
        </w:tc>
        <w:tc>
          <w:tcPr>
            <w:tcW w:w="1732" w:type="dxa"/>
            <w:vAlign w:val="top"/>
          </w:tcPr>
          <w:p>
            <w:pPr>
              <w:spacing w:line="257" w:lineRule="auto"/>
              <w:jc w:val="center"/>
              <w:rPr>
                <w:rFonts w:hint="eastAsia" w:ascii="微软雅黑" w:hAnsi="微软雅黑" w:eastAsia="微软雅黑" w:cs="微软雅黑"/>
                <w:sz w:val="22"/>
                <w:szCs w:val="22"/>
                <w:lang w:eastAsia="zh-CN"/>
              </w:rPr>
            </w:pPr>
          </w:p>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2023年12月31</w:t>
            </w:r>
            <w:r>
              <w:rPr>
                <w:rFonts w:hint="eastAsia" w:ascii="微软雅黑" w:hAnsi="微软雅黑" w:eastAsia="微软雅黑" w:cs="微软雅黑"/>
                <w:sz w:val="22"/>
                <w:szCs w:val="22"/>
                <w:lang w:eastAsia="zh-CN"/>
              </w:rPr>
              <w:t>日</w:t>
            </w:r>
          </w:p>
        </w:tc>
        <w:tc>
          <w:tcPr>
            <w:tcW w:w="2087" w:type="dxa"/>
            <w:vAlign w:val="top"/>
          </w:tcPr>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区发改局</w:t>
            </w:r>
          </w:p>
        </w:tc>
        <w:tc>
          <w:tcPr>
            <w:tcW w:w="1927" w:type="dxa"/>
            <w:vAlign w:val="top"/>
          </w:tcPr>
          <w:p>
            <w:pPr>
              <w:spacing w:line="257" w:lineRule="auto"/>
              <w:jc w:val="both"/>
              <w:rPr>
                <w:rFonts w:hint="eastAsia" w:ascii="微软雅黑" w:hAnsi="微软雅黑" w:eastAsia="微软雅黑" w:cs="微软雅黑"/>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p>
          <w:p>
            <w:pPr>
              <w:spacing w:line="257" w:lineRule="auto"/>
              <w:jc w:val="center"/>
              <w:rPr>
                <w:rFonts w:hint="eastAsia" w:ascii="微软雅黑" w:hAnsi="微软雅黑" w:eastAsia="微软雅黑" w:cs="微软雅黑"/>
                <w:spacing w:val="0"/>
                <w:sz w:val="22"/>
                <w:szCs w:val="22"/>
                <w:lang w:eastAsia="zh-CN"/>
              </w:rPr>
            </w:pPr>
            <w:r>
              <w:rPr>
                <w:rFonts w:hint="eastAsia" w:ascii="微软雅黑" w:hAnsi="微软雅黑" w:eastAsia="微软雅黑" w:cs="微软雅黑"/>
                <w:spacing w:val="0"/>
                <w:sz w:val="22"/>
                <w:szCs w:val="22"/>
                <w:lang w:eastAsia="zh-CN"/>
              </w:rPr>
              <w:t>各有关单位</w:t>
            </w:r>
          </w:p>
        </w:tc>
      </w:tr>
    </w:tbl>
    <w:p>
      <w:pPr>
        <w:rPr>
          <w:rFonts w:ascii="Arial" w:hAnsi="Arial" w:eastAsia="Arial" w:cs="Arial"/>
          <w:sz w:val="21"/>
          <w:szCs w:val="21"/>
        </w:rPr>
        <w:sectPr>
          <w:footerReference r:id="rId48" w:type="default"/>
          <w:pgSz w:w="16838" w:h="11906"/>
          <w:pgMar w:top="400" w:right="2104" w:bottom="1510" w:left="2203" w:header="0" w:footer="1282" w:gutter="0"/>
          <w:pgNumType w:fmt="numberInDash"/>
          <w:cols w:equalWidth="0" w:num="1">
            <w:col w:w="12531"/>
          </w:cols>
        </w:sectPr>
      </w:pPr>
    </w:p>
    <w:p>
      <w:pPr>
        <w:spacing w:line="244" w:lineRule="auto"/>
        <w:rPr>
          <w:rFonts w:ascii="Arial"/>
          <w:sz w:val="21"/>
        </w:rPr>
      </w:pPr>
      <w:r>
        <w:pict>
          <v:shape id="_x0000_s1026" o:spid="_x0000_s1026" o:spt="202" type="#_x0000_t202" style="position:absolute;left:0pt;margin-left:78.75pt;margin-top:746.35pt;height:11.6pt;width:43.65pt;mso-position-horizontal-relative:page;mso-position-vertical-relative:page;z-index:251661312;mso-width-relative:page;mso-height-relative:page;" filled="f" stroked="f" coordsize="21600,21600" o:allowincell="f">
            <v:path/>
            <v:fill on="f" focussize="0,0"/>
            <v:stroke on="f"/>
            <v:imagedata o:title=""/>
            <o:lock v:ext="edit" aspectratio="f"/>
            <v:textbox inset="0mm,0mm,0mm,0mm">
              <w:txbxContent>
                <w:p>
                  <w:pPr>
                    <w:spacing w:before="20" w:line="191" w:lineRule="exact"/>
                    <w:ind w:left="20"/>
                    <w:rPr>
                      <w:rFonts w:ascii="仿宋" w:hAnsi="仿宋" w:eastAsia="仿宋" w:cs="仿宋"/>
                      <w:sz w:val="28"/>
                      <w:szCs w:val="28"/>
                    </w:rPr>
                  </w:pPr>
                  <w:r>
                    <w:rPr>
                      <w:rFonts w:ascii="仿宋" w:hAnsi="仿宋" w:eastAsia="仿宋" w:cs="仿宋"/>
                      <w:spacing w:val="2"/>
                      <w:position w:val="-4"/>
                      <w:sz w:val="28"/>
                      <w:szCs w:val="28"/>
                    </w:rPr>
                    <w:t xml:space="preserve">   </w:t>
                  </w:r>
                </w:p>
              </w:txbxContent>
            </v:textbox>
          </v:shape>
        </w:pict>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101" w:line="226" w:lineRule="auto"/>
        <w:rPr>
          <w:rFonts w:ascii="黑体" w:hAnsi="黑体" w:eastAsia="黑体" w:cs="黑体"/>
          <w:spacing w:val="8"/>
          <w:sz w:val="31"/>
          <w:szCs w:val="31"/>
        </w:rPr>
      </w:pPr>
    </w:p>
    <w:p>
      <w:pPr>
        <w:spacing w:before="101" w:line="226" w:lineRule="auto"/>
        <w:rPr>
          <w:rFonts w:ascii="仿宋" w:hAnsi="仿宋" w:eastAsia="仿宋" w:cs="仿宋"/>
          <w:sz w:val="31"/>
          <w:szCs w:val="31"/>
        </w:rPr>
      </w:pPr>
      <w:r>
        <w:rPr>
          <w:rFonts w:ascii="黑体" w:hAnsi="黑体" w:eastAsia="黑体" w:cs="黑体"/>
          <w:spacing w:val="8"/>
          <w:sz w:val="31"/>
          <w:szCs w:val="31"/>
        </w:rPr>
        <w:t>公开方式：</w:t>
      </w:r>
      <w:r>
        <w:rPr>
          <w:rFonts w:ascii="仿宋" w:hAnsi="仿宋" w:eastAsia="仿宋" w:cs="仿宋"/>
          <w:spacing w:val="8"/>
          <w:sz w:val="31"/>
          <w:szCs w:val="31"/>
        </w:rPr>
        <w:t>主动公开</w:t>
      </w:r>
    </w:p>
    <w:p>
      <w:pPr>
        <w:spacing w:before="63"/>
      </w:pPr>
    </w:p>
    <w:p>
      <w:pPr>
        <w:spacing w:before="63"/>
      </w:pPr>
    </w:p>
    <w:tbl>
      <w:tblPr>
        <w:tblStyle w:val="8"/>
        <w:tblW w:w="8786"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396"/>
        <w:gridCol w:w="439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9" w:hRule="atLeast"/>
        </w:trPr>
        <w:tc>
          <w:tcPr>
            <w:tcW w:w="8786" w:type="dxa"/>
            <w:gridSpan w:val="2"/>
            <w:tcBorders>
              <w:top w:val="single" w:color="000000" w:sz="6" w:space="0"/>
              <w:bottom w:val="single" w:color="000000" w:sz="6" w:space="0"/>
            </w:tcBorders>
            <w:vAlign w:val="top"/>
          </w:tcPr>
          <w:p>
            <w:pPr>
              <w:spacing w:before="48" w:line="218" w:lineRule="auto"/>
              <w:ind w:left="324"/>
              <w:rPr>
                <w:rFonts w:ascii="仿宋" w:hAnsi="仿宋" w:eastAsia="仿宋" w:cs="仿宋"/>
                <w:sz w:val="28"/>
                <w:szCs w:val="28"/>
              </w:rPr>
            </w:pPr>
            <w:r>
              <w:rPr>
                <w:rFonts w:ascii="仿宋" w:hAnsi="仿宋" w:eastAsia="仿宋" w:cs="仿宋"/>
                <w:spacing w:val="-1"/>
                <w:sz w:val="28"/>
                <w:szCs w:val="28"/>
              </w:rPr>
              <w:t>抄送：</w:t>
            </w:r>
            <w:r>
              <w:rPr>
                <w:rFonts w:hint="eastAsia" w:ascii="仿宋" w:hAnsi="仿宋" w:eastAsia="仿宋" w:cs="仿宋"/>
                <w:spacing w:val="-1"/>
                <w:sz w:val="28"/>
                <w:szCs w:val="28"/>
                <w:lang w:eastAsia="zh-CN"/>
              </w:rPr>
              <w:t>区</w:t>
            </w:r>
            <w:r>
              <w:rPr>
                <w:rFonts w:ascii="仿宋" w:hAnsi="仿宋" w:eastAsia="仿宋" w:cs="仿宋"/>
                <w:spacing w:val="-1"/>
                <w:sz w:val="28"/>
                <w:szCs w:val="28"/>
              </w:rPr>
              <w:t>委办、</w:t>
            </w:r>
            <w:r>
              <w:rPr>
                <w:rFonts w:hint="eastAsia" w:ascii="仿宋" w:hAnsi="仿宋" w:eastAsia="仿宋" w:cs="仿宋"/>
                <w:spacing w:val="-1"/>
                <w:sz w:val="28"/>
                <w:szCs w:val="28"/>
                <w:lang w:eastAsia="zh-CN"/>
              </w:rPr>
              <w:t>区</w:t>
            </w:r>
            <w:r>
              <w:rPr>
                <w:rFonts w:ascii="仿宋" w:hAnsi="仿宋" w:eastAsia="仿宋" w:cs="仿宋"/>
                <w:spacing w:val="-1"/>
                <w:sz w:val="28"/>
                <w:szCs w:val="28"/>
              </w:rPr>
              <w:t>人大办、</w:t>
            </w:r>
            <w:r>
              <w:rPr>
                <w:rFonts w:hint="eastAsia" w:ascii="仿宋" w:hAnsi="仿宋" w:eastAsia="仿宋" w:cs="仿宋"/>
                <w:spacing w:val="-1"/>
                <w:sz w:val="28"/>
                <w:szCs w:val="28"/>
                <w:lang w:eastAsia="zh-CN"/>
              </w:rPr>
              <w:t>区</w:t>
            </w:r>
            <w:r>
              <w:rPr>
                <w:rFonts w:ascii="仿宋" w:hAnsi="仿宋" w:eastAsia="仿宋" w:cs="仿宋"/>
                <w:spacing w:val="-1"/>
                <w:sz w:val="28"/>
                <w:szCs w:val="28"/>
              </w:rPr>
              <w:t>政协办。</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7" w:hRule="atLeast"/>
        </w:trPr>
        <w:tc>
          <w:tcPr>
            <w:tcW w:w="4396" w:type="dxa"/>
            <w:tcBorders>
              <w:top w:val="single" w:color="000000" w:sz="6" w:space="0"/>
              <w:bottom w:val="single" w:color="000000" w:sz="6" w:space="0"/>
            </w:tcBorders>
            <w:vAlign w:val="top"/>
          </w:tcPr>
          <w:p>
            <w:pPr>
              <w:spacing w:before="115" w:line="212" w:lineRule="auto"/>
              <w:ind w:left="315"/>
              <w:rPr>
                <w:rFonts w:ascii="仿宋" w:hAnsi="仿宋" w:eastAsia="仿宋" w:cs="仿宋"/>
                <w:sz w:val="28"/>
                <w:szCs w:val="28"/>
              </w:rPr>
            </w:pPr>
            <w:r>
              <w:rPr>
                <w:rFonts w:ascii="仿宋" w:hAnsi="仿宋" w:eastAsia="仿宋" w:cs="仿宋"/>
                <w:spacing w:val="-1"/>
                <w:sz w:val="28"/>
                <w:szCs w:val="28"/>
              </w:rPr>
              <w:t>柳</w:t>
            </w:r>
            <w:r>
              <w:rPr>
                <w:rFonts w:hint="eastAsia" w:ascii="仿宋" w:hAnsi="仿宋" w:eastAsia="仿宋" w:cs="仿宋"/>
                <w:spacing w:val="-1"/>
                <w:sz w:val="28"/>
                <w:szCs w:val="28"/>
                <w:lang w:eastAsia="zh-CN"/>
              </w:rPr>
              <w:t>北区</w:t>
            </w:r>
            <w:r>
              <w:rPr>
                <w:rFonts w:ascii="仿宋" w:hAnsi="仿宋" w:eastAsia="仿宋" w:cs="仿宋"/>
                <w:spacing w:val="-1"/>
                <w:sz w:val="28"/>
                <w:szCs w:val="28"/>
              </w:rPr>
              <w:t>人民政府办公室</w:t>
            </w:r>
          </w:p>
        </w:tc>
        <w:tc>
          <w:tcPr>
            <w:tcW w:w="4390" w:type="dxa"/>
            <w:tcBorders>
              <w:top w:val="single" w:color="000000" w:sz="6" w:space="0"/>
              <w:bottom w:val="single" w:color="000000" w:sz="6" w:space="0"/>
            </w:tcBorders>
            <w:vAlign w:val="top"/>
          </w:tcPr>
          <w:p>
            <w:pPr>
              <w:spacing w:before="115" w:line="212" w:lineRule="auto"/>
              <w:ind w:left="1379"/>
              <w:rPr>
                <w:rFonts w:ascii="仿宋" w:hAnsi="仿宋" w:eastAsia="仿宋" w:cs="仿宋"/>
                <w:sz w:val="28"/>
                <w:szCs w:val="28"/>
              </w:rPr>
            </w:pPr>
            <w:r>
              <w:rPr>
                <w:rFonts w:ascii="Times New Roman" w:hAnsi="Times New Roman" w:eastAsia="Times New Roman" w:cs="Times New Roman"/>
                <w:spacing w:val="-10"/>
                <w:sz w:val="28"/>
                <w:szCs w:val="28"/>
              </w:rPr>
              <w:t>2023</w:t>
            </w:r>
            <w:r>
              <w:rPr>
                <w:rFonts w:ascii="仿宋" w:hAnsi="仿宋" w:eastAsia="仿宋" w:cs="仿宋"/>
                <w:spacing w:val="-10"/>
                <w:sz w:val="28"/>
                <w:szCs w:val="28"/>
              </w:rPr>
              <w:t>年</w:t>
            </w:r>
            <w:r>
              <w:rPr>
                <w:rFonts w:hint="eastAsia" w:ascii="Times New Roman" w:hAnsi="Times New Roman" w:eastAsia="宋体" w:cs="Times New Roman"/>
                <w:spacing w:val="-10"/>
                <w:sz w:val="28"/>
                <w:szCs w:val="28"/>
                <w:lang w:val="en-US" w:eastAsia="zh-CN"/>
              </w:rPr>
              <w:t>11</w:t>
            </w:r>
            <w:r>
              <w:rPr>
                <w:rFonts w:ascii="仿宋" w:hAnsi="仿宋" w:eastAsia="仿宋" w:cs="仿宋"/>
                <w:spacing w:val="-10"/>
                <w:sz w:val="28"/>
                <w:szCs w:val="28"/>
              </w:rPr>
              <w:t>月</w:t>
            </w:r>
            <w:r>
              <w:rPr>
                <w:rFonts w:hint="eastAsia" w:ascii="仿宋" w:hAnsi="仿宋" w:eastAsia="仿宋" w:cs="仿宋"/>
                <w:spacing w:val="-10"/>
                <w:sz w:val="28"/>
                <w:szCs w:val="28"/>
                <w:lang w:val="en-US" w:eastAsia="zh-CN"/>
              </w:rPr>
              <w:t>16</w:t>
            </w:r>
            <w:r>
              <w:rPr>
                <w:rFonts w:ascii="仿宋" w:hAnsi="仿宋" w:eastAsia="仿宋" w:cs="仿宋"/>
                <w:spacing w:val="-10"/>
                <w:sz w:val="28"/>
                <w:szCs w:val="28"/>
              </w:rPr>
              <w:t>日印发</w:t>
            </w:r>
          </w:p>
        </w:tc>
      </w:tr>
    </w:tbl>
    <w:p>
      <w:pPr>
        <w:tabs>
          <w:tab w:val="left" w:pos="835"/>
        </w:tabs>
        <w:bidi w:val="0"/>
        <w:jc w:val="left"/>
        <w:rPr>
          <w:rFonts w:hint="eastAsia" w:eastAsia="宋体"/>
          <w:lang w:val="en-US" w:eastAsia="zh-CN"/>
        </w:rPr>
      </w:pPr>
    </w:p>
    <w:sectPr>
      <w:footerReference r:id="rId49" w:type="default"/>
      <w:pgSz w:w="11906" w:h="16838"/>
      <w:pgMar w:top="400" w:right="1561" w:bottom="1984" w:left="1556" w:header="0" w:footer="1708" w:gutter="0"/>
      <w:pgNumType w:fmt="numberInDash"/>
      <w:cols w:equalWidth="0" w:num="1">
        <w:col w:w="8789"/>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B2E519B-11B7-4AC5-B435-813559A28C79}"/>
  </w:font>
  <w:font w:name="黑体">
    <w:panose1 w:val="02010609060101010101"/>
    <w:charset w:val="86"/>
    <w:family w:val="auto"/>
    <w:pitch w:val="default"/>
    <w:sig w:usb0="800002BF" w:usb1="38CF7CFA" w:usb2="00000016" w:usb3="00000000" w:csb0="00040001" w:csb1="00000000"/>
    <w:embedRegular r:id="rId2" w:fontKey="{02E1B636-2CBA-4E75-A221-D47B5CA95CE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auto"/>
    <w:pitch w:val="default"/>
    <w:sig w:usb0="00000000" w:usb1="00000000" w:usb2="00000000" w:usb3="00000000" w:csb0="00040000" w:csb1="00000000"/>
    <w:embedRegular r:id="rId3" w:fontKey="{7B541678-B3F9-4ECE-BD4E-69CD098CA135}"/>
  </w:font>
  <w:font w:name="微软雅黑">
    <w:panose1 w:val="020B0503020204020204"/>
    <w:charset w:val="86"/>
    <w:family w:val="auto"/>
    <w:pitch w:val="default"/>
    <w:sig w:usb0="80000287" w:usb1="2ACF3C50" w:usb2="00000016" w:usb3="00000000" w:csb0="0004001F" w:csb1="00000000"/>
    <w:embedRegular r:id="rId4" w:fontKey="{28C5B4BD-2973-4FAB-8CE2-AA3BA04FCE28}"/>
  </w:font>
  <w:font w:name="方正小标宋简体">
    <w:panose1 w:val="02000000000000000000"/>
    <w:charset w:val="86"/>
    <w:family w:val="auto"/>
    <w:pitch w:val="default"/>
    <w:sig w:usb0="00000001" w:usb1="08000000" w:usb2="00000000" w:usb3="00000000" w:csb0="00040000" w:csb1="00000000"/>
    <w:embedRegular r:id="rId5" w:fontKey="{864A7963-320E-463D-96BD-19FD13496341}"/>
  </w:font>
  <w:font w:name="仿宋">
    <w:panose1 w:val="02010609060101010101"/>
    <w:charset w:val="86"/>
    <w:family w:val="auto"/>
    <w:pitch w:val="default"/>
    <w:sig w:usb0="800002BF" w:usb1="38CF7CFA" w:usb2="00000016" w:usb3="00000000" w:csb0="00040001" w:csb1="00000000"/>
    <w:embedRegular r:id="rId6" w:fontKey="{A10681FE-6E63-4FF3-9887-8BD0AE797E95}"/>
  </w:font>
  <w:font w:name="仿宋_GB2312">
    <w:altName w:val="仿宋"/>
    <w:panose1 w:val="02010609030101010101"/>
    <w:charset w:val="86"/>
    <w:family w:val="auto"/>
    <w:pitch w:val="default"/>
    <w:sig w:usb0="00000000" w:usb1="00000000" w:usb2="00000000" w:usb3="00000000" w:csb0="00040000" w:csb1="00000000"/>
    <w:embedRegular r:id="rId7" w:fontKey="{5286BA73-7874-407E-9CCB-7CCA8288FABD}"/>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fldChar w:fldCharType="begin"/>
                          </w:r>
                          <w:r>
                            <w:rPr>
                              <w:rFonts w:hint="eastAsia" w:asciiTheme="minorEastAsia" w:hAnsiTheme="minorEastAsia" w:eastAsiaTheme="minorEastAsia" w:cstheme="minorEastAsia"/>
                              <w:sz w:val="28"/>
                              <w:szCs w:val="28"/>
                              <w:lang w:val="en-US" w:eastAsia="zh-CN"/>
                            </w:rPr>
                            <w:instrText xml:space="preserve"> PAGE  \* MERGEFORMAT </w:instrText>
                          </w:r>
                          <w:r>
                            <w:rPr>
                              <w:rFonts w:hint="eastAsia" w:asciiTheme="minorEastAsia" w:hAnsiTheme="minorEastAsia" w:eastAsiaTheme="minorEastAsia" w:cstheme="minorEastAsia"/>
                              <w:sz w:val="28"/>
                              <w:szCs w:val="28"/>
                              <w:lang w:val="en-US" w:eastAsia="zh-CN"/>
                            </w:rPr>
                            <w:fldChar w:fldCharType="separate"/>
                          </w: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lang w:val="en-US" w:eastAsia="zh-CN"/>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vvpskBAACZAwAADgAAAGRycy9lMm9Eb2MueG1srVPNjtMwEL4j8Q6W&#10;79RpV0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6u++myQEAAJkDAAAOAAAAAAAAAAEAIAAAAB4BAABkcnMvZTJvRG9j&#10;LnhtbFBLBQYAAAAABgAGAFkBAABZBQAAAAA=&#10;">
              <v:fill on="f" focussize="0,0"/>
              <v:stroke on="f"/>
              <v:imagedata o:title=""/>
              <o:lock v:ext="edit" aspectratio="f"/>
              <v:textbox inset="0mm,0mm,0mm,0mm" style="mso-fit-shape-to-text:t;">
                <w:txbxContent>
                  <w:p>
                    <w:pPr>
                      <w:pStyle w:val="4"/>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fldChar w:fldCharType="begin"/>
                    </w:r>
                    <w:r>
                      <w:rPr>
                        <w:rFonts w:hint="eastAsia" w:asciiTheme="minorEastAsia" w:hAnsiTheme="minorEastAsia" w:eastAsiaTheme="minorEastAsia" w:cstheme="minorEastAsia"/>
                        <w:sz w:val="28"/>
                        <w:szCs w:val="28"/>
                        <w:lang w:val="en-US" w:eastAsia="zh-CN"/>
                      </w:rPr>
                      <w:instrText xml:space="preserve"> PAGE  \* MERGEFORMAT </w:instrText>
                    </w:r>
                    <w:r>
                      <w:rPr>
                        <w:rFonts w:hint="eastAsia" w:asciiTheme="minorEastAsia" w:hAnsiTheme="minorEastAsia" w:eastAsiaTheme="minorEastAsia" w:cstheme="minorEastAsia"/>
                        <w:sz w:val="28"/>
                        <w:szCs w:val="28"/>
                        <w:lang w:val="en-US" w:eastAsia="zh-CN"/>
                      </w:rPr>
                      <w:fldChar w:fldCharType="separate"/>
                    </w: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lang w:val="en-US" w:eastAsia="zh-CN"/>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8" w:lineRule="auto"/>
      <w:jc w:val="right"/>
      <w:rPr>
        <w:rFonts w:hint="eastAsia" w:ascii="仿宋" w:hAnsi="仿宋" w:eastAsia="宋体" w:cs="仿宋"/>
        <w:sz w:val="23"/>
        <w:szCs w:val="23"/>
        <w:lang w:eastAsia="zh-CN"/>
      </w:rPr>
    </w:pPr>
    <w:r>
      <w:rPr>
        <w:sz w:val="23"/>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rPr>
        <w:rFonts w:ascii="仿宋" w:hAnsi="仿宋" w:eastAsia="仿宋" w:cs="仿宋"/>
        <w:sz w:val="23"/>
        <w:szCs w:val="23"/>
      </w:rPr>
    </w:pPr>
    <w:r>
      <w:rPr>
        <w:sz w:val="23"/>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9" name="文本框 3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5jjxE0AgAAZQQAAA4AAABkcnMvZTJvRG9jLnhtbK1UzY7TMBC+I/EO&#10;lu80aStWpW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PpG0o0Uyj55fu3&#10;y49fl59fSTyERLX1c0TuLGJD89Y0aJzh3OMwMm8Kp+IXnAj8EPh8FVg0gfB4aTaZzVK4OHzDBvjJ&#10;43XrfHgnjCLRyKhDBVth2WnrQxc6hMRs2mwqKdsqSk3qjN5MX6f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OY48R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8" w:lineRule="auto"/>
      <w:jc w:val="right"/>
      <w:rPr>
        <w:rFonts w:ascii="仿宋" w:hAnsi="仿宋" w:eastAsia="仿宋" w:cs="仿宋"/>
        <w:sz w:val="23"/>
        <w:szCs w:val="23"/>
      </w:rPr>
    </w:pPr>
    <w:r>
      <w:rPr>
        <w:sz w:val="23"/>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40" name="文本框 3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Qpds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80KXb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8" w:lineRule="auto"/>
      <w:rPr>
        <w:rFonts w:ascii="仿宋" w:hAnsi="仿宋" w:eastAsia="仿宋" w:cs="仿宋"/>
        <w:sz w:val="23"/>
        <w:szCs w:val="23"/>
      </w:rPr>
    </w:pPr>
    <w:r>
      <w:rPr>
        <w:sz w:val="23"/>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41" name="文本框 3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XbDtH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8" w:lineRule="auto"/>
      <w:jc w:val="right"/>
      <w:rPr>
        <w:rFonts w:ascii="仿宋" w:hAnsi="仿宋" w:eastAsia="仿宋" w:cs="仿宋"/>
        <w:sz w:val="23"/>
        <w:szCs w:val="23"/>
      </w:rPr>
    </w:pPr>
    <w:r>
      <w:rPr>
        <w:sz w:val="23"/>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42" name="文本框 3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u6Tk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r1hB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67pOTUCAABl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8" w:lineRule="auto"/>
      <w:rPr>
        <w:rFonts w:ascii="仿宋" w:hAnsi="仿宋" w:eastAsia="仿宋" w:cs="仿宋"/>
        <w:sz w:val="23"/>
        <w:szCs w:val="23"/>
      </w:rPr>
    </w:pPr>
    <w:r>
      <w:rPr>
        <w:sz w:val="23"/>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43" name="文本框 3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Sd6U0AgAAZQQAAA4AAABkcnMvZTJvRG9jLnhtbK1UzY7TMBC+I/EO&#10;lu80aQur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PXU0o0Uyj55fu3&#10;y49fl59fSTyERLX1c0TuLGJD89Y0aJzh3OMwMm8Kp+IXnAj8EPh8FVg0gfB4aTaZzVK4OHzDBvjJ&#10;43XrfHgnjCLRyKhDBVth2WnrQxc6hMRs2mwqKdsqSk3qjN5M36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AEnel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8" w:lineRule="auto"/>
      <w:jc w:val="right"/>
      <w:rPr>
        <w:rFonts w:ascii="仿宋" w:hAnsi="仿宋" w:eastAsia="仿宋" w:cs="仿宋"/>
        <w:sz w:val="23"/>
        <w:szCs w:val="23"/>
      </w:rPr>
    </w:pPr>
    <w:r>
      <w:rPr>
        <w:sz w:val="23"/>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44" name="文本框 3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rTMQ1AgAAZQQAAA4AAABkcnMvZTJvRG9jLnhtbK1US27bMBDdF+gd&#10;CO5ryU4a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poSzRRKfv7x&#10;/fzz8fzrG4mHkKi2fobIrUVsaN6ZBo0znHscRuZN4VT8ghOBHwKfLgKLJhAeL00n02kKF4dv2AA/&#10;ebpunQ/vhVEkGhl1qGArLDtufOhCh5CYTZt1JWVbRalJndGbq7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0ytMxDUCAABl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8" w:lineRule="auto"/>
      <w:jc w:val="right"/>
      <w:rPr>
        <w:rFonts w:ascii="仿宋" w:hAnsi="仿宋" w:eastAsia="仿宋" w:cs="仿宋"/>
        <w:sz w:val="23"/>
        <w:szCs w:val="23"/>
      </w:rPr>
    </w:pPr>
    <w:r>
      <w:rPr>
        <w:sz w:val="23"/>
      </w:rP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45" name="文本框 3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iX0lg1AgAAZQQAAA4AAABkcnMvZTJvRG9jLnhtbK1US27bMBDdF+gd&#10;CO5ryU4T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7TU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JfSWDUCAABl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8" w:lineRule="auto"/>
      <w:jc w:val="right"/>
      <w:rPr>
        <w:rFonts w:ascii="仿宋" w:hAnsi="仿宋" w:eastAsia="仿宋" w:cs="仿宋"/>
        <w:sz w:val="23"/>
        <w:szCs w:val="23"/>
      </w:rPr>
    </w:pPr>
    <w:r>
      <w:rPr>
        <w:sz w:val="23"/>
      </w:rP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49" name="文本框 3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a6Hg1AgAAZQQAAA4AAABkcnMvZTJvRG9jLnhtbK1UzY7TMBC+I/EO&#10;lu80aRdW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fkuJZgolP//4&#10;fv756/zwjcRDSFRbP0Pk1iI2NO9Mg8YZzj0OI/OmcCp+wYnAD4FPF4FFEwiPl6aT6TSFi8M3bICf&#10;PF63zof3wigSjYw6VLAVlh03PnShQ0jMps26krKtotSkzuj11Z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ZroeDUCAABl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8" w:lineRule="auto"/>
      <w:rPr>
        <w:rFonts w:ascii="仿宋" w:hAnsi="仿宋" w:eastAsia="仿宋" w:cs="仿宋"/>
        <w:sz w:val="23"/>
        <w:szCs w:val="23"/>
      </w:rPr>
    </w:pPr>
    <w:r>
      <w:rPr>
        <w:sz w:val="23"/>
      </w:rP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50" name="文本框 3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2WQExAgAAZQ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Q9lkBMQIAAGU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1</w:t>
                          </w:r>
                          <w:r>
                            <w:rPr>
                              <w:rFonts w:hint="eastAsia" w:asciiTheme="majorEastAsia" w:hAnsiTheme="majorEastAsia" w:eastAsiaTheme="majorEastAsia" w:cstheme="majorEastAsia"/>
                              <w:sz w:val="28"/>
                              <w:szCs w:val="2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4"/>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1</w:t>
                    </w:r>
                    <w:r>
                      <w:rPr>
                        <w:rFonts w:hint="eastAsia" w:asciiTheme="majorEastAsia" w:hAnsiTheme="majorEastAsia" w:eastAsiaTheme="majorEastAsia" w:cstheme="majorEastAsia"/>
                        <w:sz w:val="28"/>
                        <w:szCs w:val="28"/>
                        <w:lang w:eastAsia="zh-CN"/>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jc w:val="right"/>
      <w:rPr>
        <w:rFonts w:ascii="仿宋" w:hAnsi="仿宋" w:eastAsia="仿宋" w:cs="仿宋"/>
        <w:sz w:val="23"/>
        <w:szCs w:val="23"/>
      </w:rPr>
    </w:pPr>
    <w:r>
      <w:rPr>
        <w:sz w:val="23"/>
      </w:rPr>
      <mc:AlternateContent>
        <mc:Choice Requires="wps">
          <w:drawing>
            <wp:anchor distT="0" distB="0" distL="114300" distR="114300" simplePos="0" relativeHeight="251676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51" name="文本框 3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7Ssed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8" w:lineRule="auto"/>
      <w:rPr>
        <w:rFonts w:ascii="仿宋" w:hAnsi="仿宋" w:eastAsia="仿宋" w:cs="仿宋"/>
        <w:sz w:val="23"/>
        <w:szCs w:val="23"/>
      </w:rPr>
    </w:pPr>
    <w:r>
      <w:rPr>
        <w:sz w:val="23"/>
      </w:rPr>
      <mc:AlternateContent>
        <mc:Choice Requires="wps">
          <w:drawing>
            <wp:anchor distT="0" distB="0" distL="114300" distR="114300" simplePos="0" relativeHeight="2516776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52" name="文本框 3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IFeM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U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HiBXj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8" w:lineRule="auto"/>
      <w:jc w:val="right"/>
      <w:rPr>
        <w:rFonts w:ascii="仿宋" w:hAnsi="仿宋" w:eastAsia="仿宋" w:cs="仿宋"/>
        <w:sz w:val="23"/>
        <w:szCs w:val="23"/>
      </w:rPr>
    </w:pPr>
    <w:r>
      <w:rPr>
        <w:sz w:val="23"/>
      </w:rPr>
      <mc:AlternateContent>
        <mc:Choice Requires="wps">
          <w:drawing>
            <wp:anchor distT="0" distB="0" distL="114300" distR="114300" simplePos="0" relativeHeight="2516787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55" name="文本框 3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UsS6C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8" w:lineRule="auto"/>
      <w:rPr>
        <w:rFonts w:ascii="仿宋" w:hAnsi="仿宋" w:eastAsia="仿宋" w:cs="仿宋"/>
        <w:sz w:val="23"/>
        <w:szCs w:val="23"/>
      </w:rPr>
    </w:pPr>
    <w:r>
      <w:rPr>
        <w:sz w:val="23"/>
      </w:rPr>
      <mc:AlternateContent>
        <mc:Choice Requires="wps">
          <w:drawing>
            <wp:anchor distT="0" distB="0" distL="114300" distR="114300" simplePos="0" relativeHeight="2516797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56" name="文本框 3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oc/z8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8" w:lineRule="auto"/>
      <w:jc w:val="right"/>
      <w:rPr>
        <w:rFonts w:ascii="仿宋" w:hAnsi="仿宋" w:eastAsia="仿宋" w:cs="仿宋"/>
        <w:sz w:val="23"/>
        <w:szCs w:val="23"/>
      </w:rPr>
    </w:pPr>
    <w:r>
      <w:rPr>
        <w:sz w:val="23"/>
      </w:rPr>
      <mc:AlternateContent>
        <mc:Choice Requires="wps">
          <w:drawing>
            <wp:anchor distT="0" distB="0" distL="114300" distR="114300" simplePos="0" relativeHeight="2516807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57" name="文本框 3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PYmA1AgAAZQQAAA4AAABkcnMvZTJvRG9jLnhtbK1US27bMBDdF+gd&#10;CO5ryQ6SGo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i0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89iYDUCAABl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8" w:lineRule="auto"/>
      <w:rPr>
        <w:rFonts w:ascii="仿宋" w:hAnsi="仿宋" w:eastAsia="仿宋" w:cs="仿宋"/>
        <w:sz w:val="23"/>
        <w:szCs w:val="23"/>
      </w:rPr>
    </w:pPr>
    <w:r>
      <w:rPr>
        <w:sz w:val="23"/>
      </w:rPr>
      <mc:AlternateContent>
        <mc:Choice Requires="wps">
          <w:drawing>
            <wp:anchor distT="0" distB="0" distL="114300" distR="114300" simplePos="0" relativeHeight="2516817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58" name="文本框 3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- 1 -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4Aij4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OAIo+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- 1 -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8" w:lineRule="auto"/>
      <w:rPr>
        <w:rFonts w:ascii="仿宋" w:hAnsi="仿宋" w:eastAsia="仿宋" w:cs="仿宋"/>
        <w:sz w:val="23"/>
        <w:szCs w:val="23"/>
      </w:rPr>
    </w:pPr>
    <w:r>
      <w:rPr>
        <w:sz w:val="23"/>
      </w:rPr>
      <mc:AlternateContent>
        <mc:Choice Requires="wps">
          <w:drawing>
            <wp:anchor distT="0" distB="0" distL="114300" distR="114300" simplePos="0" relativeHeight="2516828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62" name="文本框 3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LkYFc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J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y5GBX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jc w:val="right"/>
      <w:rPr>
        <w:rFonts w:ascii="仿宋" w:hAnsi="仿宋" w:eastAsia="仿宋" w:cs="仿宋"/>
        <w:sz w:val="23"/>
        <w:szCs w:val="23"/>
      </w:rPr>
    </w:pPr>
    <w:r>
      <w:rPr>
        <w:sz w:val="23"/>
      </w:rPr>
      <mc:AlternateContent>
        <mc:Choice Requires="wps">
          <w:drawing>
            <wp:anchor distT="0" distB="0" distL="114300" distR="114300" simplePos="0" relativeHeight="2516838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63" name="文本框 3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ZWP7L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8" w:lineRule="auto"/>
      <w:rPr>
        <w:rFonts w:ascii="仿宋" w:hAnsi="仿宋" w:eastAsia="仿宋" w:cs="仿宋"/>
        <w:sz w:val="23"/>
        <w:szCs w:val="23"/>
      </w:rPr>
    </w:pPr>
    <w:r>
      <w:rPr>
        <w:sz w:val="23"/>
      </w:rPr>
      <mc:AlternateContent>
        <mc:Choice Requires="wps">
          <w:drawing>
            <wp:anchor distT="0" distB="0" distL="114300" distR="114300" simplePos="0" relativeHeight="2516848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64" name="文本框 3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hxao0AgAAZQQAAA4AAABkcnMvZTJvRG9jLnhtbK1UzY7TMBC+I/EO&#10;lu80aReq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vpa0o0Uyj55fu3&#10;y49fl59fSTyERLX1c0TuLGJD89Y0aJzh3OMwMm8Kp+IXnAj8EPh8FVg0gfB4aTaZzVK4OHzDBvjJ&#10;43XrfHgnjCLRyKhDBVth2WnrQxc6hMRs2mwqKdsqSk3qjE5v3q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YcWq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8" w:lineRule="auto"/>
      <w:jc w:val="right"/>
      <w:rPr>
        <w:rFonts w:ascii="仿宋" w:hAnsi="仿宋" w:eastAsia="仿宋" w:cs="仿宋"/>
        <w:sz w:val="23"/>
        <w:szCs w:val="23"/>
      </w:rPr>
    </w:pPr>
    <w:r>
      <w:rPr>
        <w:sz w:val="23"/>
      </w:rPr>
      <mc:AlternateContent>
        <mc:Choice Requires="wps">
          <w:drawing>
            <wp:anchor distT="0" distB="0" distL="114300" distR="114300" simplePos="0" relativeHeight="2516858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65" name="文本框 3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h3Vs2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rPr>
        <w:rFonts w:ascii="仿宋" w:hAnsi="仿宋" w:eastAsia="仿宋" w:cs="仿宋"/>
        <w:sz w:val="23"/>
        <w:szCs w:val="23"/>
      </w:rPr>
    </w:pPr>
    <w:r>
      <w:rPr>
        <w:sz w:val="23"/>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9" name="文本框 3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- 1 -</w:t>
                          </w:r>
                          <w:r>
                            <w:rPr>
                              <w:rFonts w:hint="eastAsia" w:asciiTheme="majorEastAsia" w:hAnsiTheme="majorEastAsia" w:eastAsiaTheme="majorEastAsia" w:cstheme="maj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Fc8s1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y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kVzyzUCAABl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- 1 -</w:t>
                    </w:r>
                    <w:r>
                      <w:rPr>
                        <w:rFonts w:hint="eastAsia" w:asciiTheme="majorEastAsia" w:hAnsiTheme="majorEastAsia" w:eastAsiaTheme="majorEastAsia" w:cstheme="majorEastAsia"/>
                        <w:sz w:val="28"/>
                        <w:szCs w:val="28"/>
                        <w:lang w:eastAsia="zh-CN"/>
                      </w:rP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8" w:lineRule="auto"/>
      <w:rPr>
        <w:rFonts w:ascii="仿宋" w:hAnsi="仿宋" w:eastAsia="仿宋" w:cs="仿宋"/>
        <w:sz w:val="23"/>
        <w:szCs w:val="23"/>
      </w:rPr>
    </w:pPr>
    <w:r>
      <w:rPr>
        <w:sz w:val="23"/>
      </w:rPr>
      <mc:AlternateContent>
        <mc:Choice Requires="wps">
          <w:drawing>
            <wp:anchor distT="0" distB="0" distL="114300" distR="114300" simplePos="0" relativeHeight="2516869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66" name="文本框 3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0fiUg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p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dH4lI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8" w:lineRule="auto"/>
      <w:jc w:val="right"/>
      <w:rPr>
        <w:rFonts w:ascii="仿宋" w:hAnsi="仿宋" w:eastAsia="仿宋" w:cs="仿宋"/>
        <w:sz w:val="23"/>
        <w:szCs w:val="23"/>
      </w:rPr>
    </w:pPr>
    <w:r>
      <w:rPr>
        <w:sz w:val="23"/>
      </w:rPr>
      <mc:AlternateContent>
        <mc:Choice Requires="wps">
          <w:drawing>
            <wp:anchor distT="0" distB="0" distL="114300" distR="114300" simplePos="0" relativeHeight="2516879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67" name="文本框 3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jF9Q0AgAAZQQAAA4AAABkcnMvZTJvRG9jLnhtbK1UzY7TMBC+I/EO&#10;lu80aVeU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vpG0o0Uyj55fu3&#10;y49fl59fSTyERLX1c0TuLGJD89Y0aJzh3OMwMm8Kp+IXnAj8EPh8FVg0gfB4aTaZzVK4OHzDBvjJ&#10;43XrfHgnjCLRyKhDBVth2WnrQxc6hMRs2mwqKdsqSk3qjE5vXqf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2oxfU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8" w:lineRule="auto"/>
      <w:rPr>
        <w:rFonts w:ascii="仿宋" w:hAnsi="仿宋" w:eastAsia="仿宋" w:cs="仿宋"/>
        <w:sz w:val="23"/>
        <w:szCs w:val="23"/>
      </w:rPr>
    </w:pPr>
    <w:r>
      <w:rPr>
        <w:sz w:val="23"/>
      </w:rPr>
      <mc:AlternateContent>
        <mc:Choice Requires="wps">
          <w:drawing>
            <wp:anchor distT="0" distB="0" distL="114300" distR="114300" simplePos="0" relativeHeight="2516889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68" name="文本框 3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ts/4o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7bP+K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8" w:lineRule="auto"/>
      <w:jc w:val="right"/>
      <w:rPr>
        <w:rFonts w:ascii="仿宋" w:hAnsi="仿宋" w:eastAsia="仿宋" w:cs="仿宋"/>
        <w:sz w:val="23"/>
        <w:szCs w:val="23"/>
      </w:rPr>
    </w:pPr>
    <w:r>
      <w:rPr>
        <w:sz w:val="23"/>
      </w:rPr>
      <mc:AlternateContent>
        <mc:Choice Requires="wps">
          <w:drawing>
            <wp:anchor distT="0" distB="0" distL="114300" distR="114300" simplePos="0" relativeHeight="2516899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69" name="文本框 3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QYRY0AgAAZQQAAA4AAABkcnMvZTJvRG9jLnhtbK1UzY7TMBC+I/EO&#10;lu80aVdUpW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vpG0o0Uyj55fu3&#10;y49fl59fSTyERLX1c0TuLGJD89Y0aJzh3OMwMm8Kp+IXnAj8EPh8FVg0gfB4aTaZzVK4OHzDBvjJ&#10;43XrfHgnjCLRyKhDBVth2WnrQxc6hMRs2mwqKdsqSk3qjE5vXqf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Q0GEW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8" w:lineRule="auto"/>
      <w:jc w:val="right"/>
      <w:rPr>
        <w:rFonts w:ascii="仿宋" w:hAnsi="仿宋" w:eastAsia="仿宋" w:cs="仿宋"/>
        <w:sz w:val="23"/>
        <w:szCs w:val="23"/>
      </w:rPr>
    </w:pPr>
    <w:r>
      <w:rPr>
        <w:sz w:val="23"/>
      </w:rPr>
      <mc:AlternateContent>
        <mc:Choice Requires="wps">
          <w:drawing>
            <wp:anchor distT="0" distB="0" distL="114300" distR="114300" simplePos="0" relativeHeight="2516910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0" name="文本框 3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80G8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JvNBv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8" w:lineRule="auto"/>
      <w:rPr>
        <w:rFonts w:ascii="仿宋" w:hAnsi="仿宋" w:eastAsia="仿宋" w:cs="仿宋"/>
        <w:sz w:val="23"/>
        <w:szCs w:val="23"/>
      </w:rPr>
    </w:pPr>
    <w:r>
      <w:rPr>
        <w:sz w:val="23"/>
      </w:rPr>
      <mc:AlternateContent>
        <mc:Choice Requires="wps">
          <w:drawing>
            <wp:anchor distT="0" distB="0" distL="114300" distR="114300" simplePos="0" relativeHeight="2516920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1" name="文本框 3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AE7z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8" w:lineRule="auto"/>
      <w:jc w:val="right"/>
      <w:rPr>
        <w:rFonts w:ascii="仿宋" w:hAnsi="仿宋" w:eastAsia="仿宋" w:cs="仿宋"/>
        <w:sz w:val="23"/>
        <w:szCs w:val="23"/>
      </w:rPr>
    </w:pPr>
    <w:r>
      <w:rPr>
        <w:sz w:val="23"/>
      </w:rPr>
      <mc:AlternateContent>
        <mc:Choice Requires="wps">
          <w:drawing>
            <wp:anchor distT="0" distB="0" distL="114300" distR="114300" simplePos="0" relativeHeight="2516930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2" name="文本框 3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7CnI01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rNhB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sKcjTUCAABl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8" w:lineRule="auto"/>
      <w:rPr>
        <w:rFonts w:ascii="仿宋" w:hAnsi="仿宋" w:eastAsia="仿宋" w:cs="仿宋"/>
        <w:sz w:val="23"/>
        <w:szCs w:val="23"/>
      </w:rPr>
    </w:pPr>
    <w:r>
      <w:rPr>
        <w:sz w:val="23"/>
      </w:rPr>
      <mc:AlternateContent>
        <mc:Choice Requires="wps">
          <w:drawing>
            <wp:anchor distT="0" distB="0" distL="114300" distR="114300" simplePos="0" relativeHeight="2516940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5" name="文本框 3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37p+w1AgAAZQQAAA4AAABkcnMvZTJvRG9jLnhtbK1US27bMBDdF+gd&#10;CO5ryQ6SGo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7TU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fun7DUCAABl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8" w:lineRule="auto"/>
      <w:jc w:val="right"/>
      <w:rPr>
        <w:rFonts w:ascii="仿宋" w:hAnsi="仿宋" w:eastAsia="仿宋" w:cs="仿宋"/>
        <w:sz w:val="23"/>
        <w:szCs w:val="23"/>
      </w:rPr>
    </w:pPr>
    <w:r>
      <w:rPr>
        <w:sz w:val="23"/>
      </w:rPr>
      <mc:AlternateContent>
        <mc:Choice Requires="wps">
          <w:drawing>
            <wp:anchor distT="0" distB="0" distL="114300" distR="114300" simplePos="0" relativeHeight="2516951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6" name="文本框 3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5dZI0AgAAZQQAAA4AAABkcnMvZTJvRG9jLnhtbK1UzY7TMBC+I/EO&#10;lu80aVeU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s3U0o0Uyj55fu3&#10;y49fl59fSTyERLX1c0TuLGJD89Y0aJzh3OMwMm8Kp+IXnAj8EPh8FVg0gfB4aTaZzVK4OHzDBvjJ&#10;43XrfHgnjCLRyKhDBVth2WnrQxc6hMRs2mwqKdsqSk3qjE5vXqf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xOXWS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8" w:lineRule="auto"/>
      <w:jc w:val="right"/>
      <w:rPr>
        <w:rFonts w:ascii="仿宋" w:hAnsi="仿宋" w:eastAsia="仿宋" w:cs="仿宋"/>
        <w:sz w:val="23"/>
        <w:szCs w:val="23"/>
      </w:rPr>
    </w:pPr>
    <w:r>
      <w:rPr>
        <w:sz w:val="23"/>
      </w:rPr>
      <mc:AlternateContent>
        <mc:Choice Requires="wps">
          <w:drawing>
            <wp:anchor distT="0" distB="0" distL="114300" distR="114300" simplePos="0" relativeHeight="2516961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8" name="文本框 3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KA1A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XSgNQ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8" w:lineRule="auto"/>
      <w:jc w:val="right"/>
      <w:rPr>
        <w:rFonts w:ascii="仿宋" w:hAnsi="仿宋" w:eastAsia="仿宋" w:cs="仿宋"/>
        <w:sz w:val="23"/>
        <w:szCs w:val="23"/>
      </w:rPr>
    </w:pPr>
    <w:r>
      <w:rPr>
        <w:sz w:val="23"/>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0" name="文本框 3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- 1 -</w:t>
                          </w:r>
                          <w:r>
                            <w:rPr>
                              <w:rFonts w:hint="eastAsia" w:asciiTheme="majorEastAsia" w:hAnsiTheme="majorEastAsia" w:eastAsiaTheme="majorEastAsia" w:cstheme="maj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pwrI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7KcKy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- 1 -</w:t>
                    </w:r>
                    <w:r>
                      <w:rPr>
                        <w:rFonts w:hint="eastAsia" w:asciiTheme="majorEastAsia" w:hAnsiTheme="majorEastAsia" w:eastAsiaTheme="majorEastAsia" w:cstheme="majorEastAsia"/>
                        <w:sz w:val="28"/>
                        <w:szCs w:val="28"/>
                        <w:lang w:eastAsia="zh-CN"/>
                      </w:rP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8" w:lineRule="auto"/>
      <w:rPr>
        <w:rFonts w:ascii="仿宋" w:hAnsi="仿宋" w:eastAsia="仿宋" w:cs="仿宋"/>
        <w:sz w:val="23"/>
        <w:szCs w:val="23"/>
      </w:rPr>
    </w:pPr>
    <w:r>
      <w:rPr>
        <w:sz w:val="23"/>
      </w:rPr>
      <mc:AlternateContent>
        <mc:Choice Requires="wps">
          <w:drawing>
            <wp:anchor distT="0" distB="0" distL="114300" distR="114300" simplePos="0" relativeHeight="2516971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9" name="文本框 3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z2ncw1AgAAZQQAAA4AAABkcnMvZTJvRG9jLnhtbK1UzY7TMBC+I/EO&#10;lu80aVcs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eUuJZgolP//4&#10;fv756/zwjcRDSFRbP0Pk1iI2NO9Mg8YZzj0OI/OmcCp+wYnAD4FPF4FFEwiPl6aT6TSFi8M3bICf&#10;PF63zof3wigSjYw6VLAVlh03PnShQ0jMps26krKtotSkzuj11e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adzDUCAABlBAAADgAAAAAAAAABACAAAAAfAQAAZHJzL2Uyb0RvYy54bWxQ&#10;SwUGAAAAAAYABgBZAQAAxg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jc w:val="right"/>
      <w:rPr>
        <w:rFonts w:ascii="仿宋" w:hAnsi="仿宋" w:eastAsia="仿宋" w:cs="仿宋"/>
        <w:sz w:val="23"/>
        <w:szCs w:val="23"/>
      </w:rPr>
    </w:pPr>
    <w:r>
      <w:rPr>
        <w:sz w:val="23"/>
      </w:rPr>
      <mc:AlternateContent>
        <mc:Choice Requires="wps">
          <w:drawing>
            <wp:anchor distT="0" distB="0" distL="114300" distR="114300" simplePos="0" relativeHeight="2516981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80" name="文本框 3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p42c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czaGKYRsnPP76f&#10;f/4+//pG0iEkql2YI/LBITY272yDxhnOAw4T86b0On3BicAPsNNFYNFEwtOl2XQ2G8PF4Rs2wM+e&#10;rjsf4nthNUlGTj0q2ArLjtsQu9AhJGUzdiOVaquoDKlzen31d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raeNn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jc w:val="right"/>
      <w:rPr>
        <w:rFonts w:ascii="仿宋" w:hAnsi="仿宋" w:eastAsia="仿宋" w:cs="仿宋"/>
        <w:sz w:val="23"/>
        <w:szCs w:val="23"/>
      </w:rPr>
    </w:pPr>
    <w:r>
      <w:rPr>
        <w:sz w:val="23"/>
      </w:rPr>
      <mc:AlternateContent>
        <mc:Choice Requires="wps">
          <w:drawing>
            <wp:anchor distT="0" distB="0" distL="114300" distR="114300" simplePos="0" relativeHeight="2516992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82" name="文本框 3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Xr4U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zK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8F6+F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932"/>
        <w:tab w:val="clear" w:pos="4153"/>
      </w:tabs>
      <w:rPr>
        <w:rFonts w:hint="eastAsia"/>
        <w:lang w:eastAsia="zh-CN"/>
      </w:rPr>
    </w:pPr>
    <w:r>
      <w:rPr>
        <w:sz w:val="18"/>
      </w:rPr>
      <mc:AlternateContent>
        <mc:Choice Requires="wps">
          <w:drawing>
            <wp:anchor distT="0" distB="0" distL="114300" distR="114300" simplePos="0" relativeHeight="2517002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83" name="文本框 3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erMRk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3Opp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XqzEZ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8" w:lineRule="auto"/>
      <w:jc w:val="right"/>
      <w:rPr>
        <w:rFonts w:ascii="仿宋" w:hAnsi="仿宋" w:eastAsia="仿宋" w:cs="仿宋"/>
        <w:sz w:val="23"/>
        <w:szCs w:val="23"/>
      </w:rPr>
    </w:pPr>
    <w:r>
      <w:rPr>
        <w:sz w:val="23"/>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2" name="文本框 3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Theme="minorEastAsia" w:hAnsiTheme="minorEastAsia" w:eastAsiaTheme="minorEastAsia" w:cstheme="minorEastAsia"/>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jlA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J5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45Q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asciiTheme="minorEastAsia" w:hAnsiTheme="minorEastAsia" w:eastAsiaTheme="minorEastAsia" w:cstheme="minorEastAsia"/>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8" w:lineRule="auto"/>
      <w:jc w:val="right"/>
      <w:rPr>
        <w:rFonts w:ascii="仿宋" w:hAnsi="仿宋" w:eastAsia="仿宋" w:cs="仿宋"/>
        <w:sz w:val="23"/>
        <w:szCs w:val="23"/>
      </w:rPr>
    </w:pPr>
    <w:r>
      <w:rPr>
        <w:sz w:val="23"/>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4" name="文本框 3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- 1 -</w:t>
                          </w:r>
                          <w:r>
                            <w:rPr>
                              <w:rFonts w:hint="eastAsia" w:asciiTheme="majorEastAsia" w:hAnsiTheme="majorEastAsia" w:eastAsiaTheme="majorEastAsia" w:cstheme="maj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TSK600AgAAZQQAAA4AAABkcnMvZTJvRG9jLnhtbK1UzY7TMBC+I/EO&#10;lu80aQur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Ppa0o0Uyj55fu3&#10;y49fl59fSTyERLX1c0TuLGJD89Y0aJzh3OMwMm8Kp+IXnAj8EPh8FVg0gfB4aTaZzVK4OHzDBvjJ&#10;43XrfHgnjCLRyKhDBVth2WnrQxc6hMRs2mwqKdsqSk3qjN5M36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0iut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- 1 -</w:t>
                    </w:r>
                    <w:r>
                      <w:rPr>
                        <w:rFonts w:hint="eastAsia" w:asciiTheme="majorEastAsia" w:hAnsiTheme="majorEastAsia" w:eastAsiaTheme="majorEastAsia" w:cstheme="majorEastAsia"/>
                        <w:sz w:val="28"/>
                        <w:szCs w:val="28"/>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8" w:lineRule="auto"/>
      <w:rPr>
        <w:rFonts w:ascii="仿宋" w:hAnsi="仿宋" w:eastAsia="仿宋" w:cs="仿宋"/>
        <w:sz w:val="23"/>
        <w:szCs w:val="23"/>
      </w:rPr>
    </w:pPr>
    <w:r>
      <w:rPr>
        <w:sz w:val="23"/>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5" name="文本框 3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brUx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jc w:val="right"/>
      <w:rPr>
        <w:rFonts w:ascii="仿宋" w:hAnsi="仿宋" w:eastAsia="仿宋" w:cs="仿宋"/>
        <w:sz w:val="23"/>
        <w:szCs w:val="23"/>
      </w:rPr>
    </w:pPr>
    <w:r>
      <w:rPr>
        <w:sz w:val="23"/>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6" name="文本框 3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DrGdP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rPr>
        <w:rFonts w:ascii="仿宋" w:hAnsi="仿宋" w:eastAsia="仿宋" w:cs="仿宋"/>
        <w:sz w:val="23"/>
        <w:szCs w:val="23"/>
      </w:rPr>
    </w:pPr>
    <w:r>
      <w:rPr>
        <w:sz w:val="23"/>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7" name="文本框 3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- 1 -</w:t>
                          </w:r>
                          <w:r>
                            <w:rPr>
                              <w:rFonts w:hint="eastAsia" w:asciiTheme="majorEastAsia" w:hAnsiTheme="majorEastAsia" w:eastAsiaTheme="majorEastAsia" w:cstheme="maj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Q+dM0AgAAZQQAAA4AAABkcnMvZTJvRG9jLnhtbK1UzY7TMBC+I/EO&#10;lu80aSuW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PpG0o0Uyj55fu3&#10;y49fl59fSTyERLX1c0TuLGJD89Y0aJzh3OMwMm8Kp+IXnAj8EPh8FVg0gfB4aTaZzVK4OHzDBvjJ&#10;43XrfHgnjCLRyKhDBVth2WnrQxc6hMRs2mwqKdsqSk3qjN5MX6f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oEPnT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- 1 -</w:t>
                    </w:r>
                    <w:r>
                      <w:rPr>
                        <w:rFonts w:hint="eastAsia" w:asciiTheme="majorEastAsia" w:hAnsiTheme="majorEastAsia" w:eastAsiaTheme="majorEastAsia" w:cstheme="majorEastAsia"/>
                        <w:sz w:val="28"/>
                        <w:szCs w:val="28"/>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635" cy="0"/>
              <wp:effectExtent l="0" t="0" r="0" b="0"/>
              <wp:wrapNone/>
              <wp:docPr id="2" name="文本框 2"/>
              <wp:cNvGraphicFramePr/>
              <a:graphic xmlns:a="http://schemas.openxmlformats.org/drawingml/2006/main">
                <a:graphicData uri="http://schemas.microsoft.com/office/word/2010/wordprocessingShape">
                  <wps:wsp>
                    <wps:cNvSpPr txBox="1"/>
                    <wps:spPr>
                      <a:xfrm>
                        <a:off x="0" y="0"/>
                        <a:ext cx="635" cy="0"/>
                      </a:xfrm>
                      <a:prstGeom prst="rect">
                        <a:avLst/>
                      </a:prstGeom>
                      <a:noFill/>
                      <a:ln>
                        <a:noFill/>
                      </a:ln>
                    </wps:spPr>
                    <wps:txbx>
                      <w:txbxContent>
                        <w:p>
                          <w:r>
                            <w:t>ImpTraceLabel=PD94bWwgdmVyc2lvbj0nMS4wJyBlbmNvZGluZz0nVVRGLTgnPz48dHJhY2U+PGNvbnRlbnQ+PC9jb250ZW50PjxhY2NvdW50Pno5NDNlNTQzN3dkMGs1a2txOW1ta3Q8L2FjY291bnQ+PG1hY2hpbmVDb2RlPkxDVDg5NkowMTEzODAKPC9tYWNoaW5lQ29kZT48dGltZT4yMDIzLTA4LTA0IDA5OjM4OjMxPC90aW1lPjxzeXN0ZW0+TUI8c3lzdGVtPjwvdHJhY2U+</w:t>
                          </w:r>
                        </w:p>
                      </w:txbxContent>
                    </wps:txbx>
                    <wps:bodyPr upright="1"/>
                  </wps:wsp>
                </a:graphicData>
              </a:graphic>
            </wp:anchor>
          </w:drawing>
        </mc:Choice>
        <mc:Fallback>
          <w:pict>
            <v:shape id="_x0000_s1026" o:spid="_x0000_s1026" o:spt="202" type="#_x0000_t202" style="position:absolute;left:0pt;margin-left:0pt;margin-top:0pt;height:0pt;width:0.05pt;mso-position-horizontal-relative:page;mso-position-vertical-relative:page;z-index:251662336;mso-width-relative:page;mso-height-relative:page;" filled="f" stroked="f" coordsize="21600,21600" o:gfxdata="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6Kh+bs0AAAD/AAAADwAAAAAAAAABACAAAAAi&#10;AAAAZHJzL2Rvd25yZXYueG1sUEsBAhQAFAAAAAgAh07iQDeGaRGjAQAARQMAAA4AAAAAAAAAAQAg&#10;AAAAHAEAAGRycy9lMm9Eb2MueG1sUEsFBgAAAAAGAAYAWQEAADEFAAAAAA==&#10;">
              <v:fill on="f" focussize="0,0"/>
              <v:stroke on="f"/>
              <v:imagedata o:title=""/>
              <o:lock v:ext="edit" aspectratio="f"/>
              <v:textbox>
                <w:txbxContent>
                  <w:p>
                    <w:r>
                      <w:t>ImpTraceLabel=PD94bWwgdmVyc2lvbj0nMS4wJyBlbmNvZGluZz0nVVRGLTgnPz48dHJhY2U+PGNvbnRlbnQ+PC9jb250ZW50PjxhY2NvdW50Pno5NDNlNTQzN3dkMGs1a2txOW1ta3Q8L2FjY291bnQ+PG1hY2hpbmVDb2RlPkxDVDg5NkowMTEzODAKPC9tYWNoaW5lQ29kZT48dGltZT4yMDIzLTA4LTA0IDA5OjM4OjMxPC90aW1lPjxzeXN0ZW0+TUI8c3lzdGVtPjwvdHJhY2U+</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Rancho">
    <w15:presenceInfo w15:providerId="WPS Office" w15:userId="39718168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gutterAtTop/>
  <w:revisionView w:markup="0"/>
  <w:trackRevisions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GJjMTQ3MjlhOTIzYzA2NWY1OTQ3ODRjNDEzZWExZGMifQ=="/>
  </w:docVars>
  <w:rsids>
    <w:rsidRoot w:val="00000000"/>
    <w:rsid w:val="004B24FB"/>
    <w:rsid w:val="0109337E"/>
    <w:rsid w:val="01444939"/>
    <w:rsid w:val="018645FD"/>
    <w:rsid w:val="01986428"/>
    <w:rsid w:val="025E3284"/>
    <w:rsid w:val="02BB7918"/>
    <w:rsid w:val="02BF5781"/>
    <w:rsid w:val="02CC226C"/>
    <w:rsid w:val="038E115D"/>
    <w:rsid w:val="04A80D57"/>
    <w:rsid w:val="0534437F"/>
    <w:rsid w:val="05634F10"/>
    <w:rsid w:val="05D039D3"/>
    <w:rsid w:val="06CD14B3"/>
    <w:rsid w:val="091B2371"/>
    <w:rsid w:val="0AC17BDA"/>
    <w:rsid w:val="0B126309"/>
    <w:rsid w:val="0B3C4F7D"/>
    <w:rsid w:val="0B6A5249"/>
    <w:rsid w:val="0B9F107B"/>
    <w:rsid w:val="0BB03D42"/>
    <w:rsid w:val="0BBF3629"/>
    <w:rsid w:val="0CA021F0"/>
    <w:rsid w:val="0CF4540F"/>
    <w:rsid w:val="0D53367B"/>
    <w:rsid w:val="0DE31A06"/>
    <w:rsid w:val="0DF84AC1"/>
    <w:rsid w:val="0FE35F5B"/>
    <w:rsid w:val="10A72915"/>
    <w:rsid w:val="12133AA5"/>
    <w:rsid w:val="12AD00FE"/>
    <w:rsid w:val="138164BC"/>
    <w:rsid w:val="160E4F3A"/>
    <w:rsid w:val="166B3CC4"/>
    <w:rsid w:val="179C7A19"/>
    <w:rsid w:val="181831B2"/>
    <w:rsid w:val="187D668D"/>
    <w:rsid w:val="1A290DE2"/>
    <w:rsid w:val="1A297290"/>
    <w:rsid w:val="1A5B383F"/>
    <w:rsid w:val="1D026A36"/>
    <w:rsid w:val="1D081F97"/>
    <w:rsid w:val="20D2326A"/>
    <w:rsid w:val="24367B1F"/>
    <w:rsid w:val="259016D1"/>
    <w:rsid w:val="25FC1E24"/>
    <w:rsid w:val="27DC013D"/>
    <w:rsid w:val="28F80735"/>
    <w:rsid w:val="29BD1984"/>
    <w:rsid w:val="2A025F27"/>
    <w:rsid w:val="2ADA7C2B"/>
    <w:rsid w:val="2E010952"/>
    <w:rsid w:val="2FED7C40"/>
    <w:rsid w:val="2FF546C8"/>
    <w:rsid w:val="2FFE49D7"/>
    <w:rsid w:val="31D04385"/>
    <w:rsid w:val="32066638"/>
    <w:rsid w:val="324F3635"/>
    <w:rsid w:val="335E4CD1"/>
    <w:rsid w:val="3805122C"/>
    <w:rsid w:val="38A214EE"/>
    <w:rsid w:val="38F74ED2"/>
    <w:rsid w:val="38F757B1"/>
    <w:rsid w:val="39415335"/>
    <w:rsid w:val="39630E43"/>
    <w:rsid w:val="39EE488F"/>
    <w:rsid w:val="3A3C6DD1"/>
    <w:rsid w:val="3AA220E7"/>
    <w:rsid w:val="3B951C75"/>
    <w:rsid w:val="3DB25EA4"/>
    <w:rsid w:val="3E3466DA"/>
    <w:rsid w:val="3E9D5928"/>
    <w:rsid w:val="3EBB7CBB"/>
    <w:rsid w:val="3F177A97"/>
    <w:rsid w:val="40183AC7"/>
    <w:rsid w:val="40E03D2A"/>
    <w:rsid w:val="418308D3"/>
    <w:rsid w:val="41E370C3"/>
    <w:rsid w:val="43620E56"/>
    <w:rsid w:val="45284D74"/>
    <w:rsid w:val="47902F82"/>
    <w:rsid w:val="4DA769DE"/>
    <w:rsid w:val="4DCA6BC0"/>
    <w:rsid w:val="52FB488B"/>
    <w:rsid w:val="543B3C1E"/>
    <w:rsid w:val="575F4C71"/>
    <w:rsid w:val="59984FBF"/>
    <w:rsid w:val="5B7E082A"/>
    <w:rsid w:val="5CDE6A08"/>
    <w:rsid w:val="5D4D6FAA"/>
    <w:rsid w:val="5DFC02C3"/>
    <w:rsid w:val="5F735DBA"/>
    <w:rsid w:val="5F9920D6"/>
    <w:rsid w:val="618B4AF7"/>
    <w:rsid w:val="61985B8E"/>
    <w:rsid w:val="62931607"/>
    <w:rsid w:val="63063A74"/>
    <w:rsid w:val="64E02D1C"/>
    <w:rsid w:val="65177123"/>
    <w:rsid w:val="665A2494"/>
    <w:rsid w:val="66704CEA"/>
    <w:rsid w:val="66967370"/>
    <w:rsid w:val="67B9161F"/>
    <w:rsid w:val="684D426A"/>
    <w:rsid w:val="69AF3F3B"/>
    <w:rsid w:val="69E91EAC"/>
    <w:rsid w:val="6BED244A"/>
    <w:rsid w:val="6C832144"/>
    <w:rsid w:val="6D4E6469"/>
    <w:rsid w:val="6DE66B3A"/>
    <w:rsid w:val="6F1719EC"/>
    <w:rsid w:val="6F1C3878"/>
    <w:rsid w:val="70210AA2"/>
    <w:rsid w:val="711A7BFB"/>
    <w:rsid w:val="718A2D1E"/>
    <w:rsid w:val="72716F48"/>
    <w:rsid w:val="72A668FB"/>
    <w:rsid w:val="72CA2AE1"/>
    <w:rsid w:val="744E128A"/>
    <w:rsid w:val="749370EC"/>
    <w:rsid w:val="76106FCC"/>
    <w:rsid w:val="79FA70F4"/>
    <w:rsid w:val="7A140E58"/>
    <w:rsid w:val="7A201567"/>
    <w:rsid w:val="7A8E1C56"/>
    <w:rsid w:val="7CD1666C"/>
    <w:rsid w:val="7D09500F"/>
    <w:rsid w:val="7E3612D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next w:val="3"/>
    <w:semiHidden/>
    <w:qFormat/>
    <w:uiPriority w:val="0"/>
    <w:rPr>
      <w:rFonts w:ascii="宋体" w:hAnsi="宋体" w:eastAsia="宋体" w:cs="宋体"/>
      <w:sz w:val="52"/>
      <w:szCs w:val="52"/>
      <w:lang w:val="en-US" w:eastAsia="en-US" w:bidi="ar-SA"/>
    </w:rPr>
  </w:style>
  <w:style w:type="paragraph" w:styleId="3">
    <w:name w:val="Title"/>
    <w:basedOn w:val="1"/>
    <w:next w:val="1"/>
    <w:qFormat/>
    <w:uiPriority w:val="10"/>
    <w:pPr>
      <w:jc w:val="center"/>
      <w:outlineLvl w:val="2"/>
    </w:pPr>
    <w:rPr>
      <w:rFonts w:eastAsia="楷体_GB2312" w:cs="Times New Roman"/>
      <w:bCs/>
      <w:szCs w:val="32"/>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微软雅黑" w:hAnsi="微软雅黑" w:eastAsia="微软雅黑" w:cs="微软雅黑"/>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3" Type="http://schemas.microsoft.com/office/2011/relationships/people" Target="people.xml"/><Relationship Id="rId52" Type="http://schemas.openxmlformats.org/officeDocument/2006/relationships/fontTable" Target="fontTable.xml"/><Relationship Id="rId51" Type="http://schemas.openxmlformats.org/officeDocument/2006/relationships/customXml" Target="../customXml/item1.xml"/><Relationship Id="rId50" Type="http://schemas.openxmlformats.org/officeDocument/2006/relationships/theme" Target="theme/theme1.xml"/><Relationship Id="rId5" Type="http://schemas.openxmlformats.org/officeDocument/2006/relationships/header" Target="header1.xml"/><Relationship Id="rId49" Type="http://schemas.openxmlformats.org/officeDocument/2006/relationships/footer" Target="footer43.xml"/><Relationship Id="rId48" Type="http://schemas.openxmlformats.org/officeDocument/2006/relationships/footer" Target="footer42.xml"/><Relationship Id="rId47" Type="http://schemas.openxmlformats.org/officeDocument/2006/relationships/footer" Target="footer41.xml"/><Relationship Id="rId46" Type="http://schemas.openxmlformats.org/officeDocument/2006/relationships/footer" Target="footer40.xml"/><Relationship Id="rId45" Type="http://schemas.openxmlformats.org/officeDocument/2006/relationships/footer" Target="footer39.xml"/><Relationship Id="rId44" Type="http://schemas.openxmlformats.org/officeDocument/2006/relationships/footer" Target="footer38.xml"/><Relationship Id="rId43" Type="http://schemas.openxmlformats.org/officeDocument/2006/relationships/footer" Target="footer37.xml"/><Relationship Id="rId42" Type="http://schemas.openxmlformats.org/officeDocument/2006/relationships/footer" Target="footer36.xml"/><Relationship Id="rId41" Type="http://schemas.openxmlformats.org/officeDocument/2006/relationships/footer" Target="footer35.xml"/><Relationship Id="rId40" Type="http://schemas.openxmlformats.org/officeDocument/2006/relationships/footer" Target="footer34.xml"/><Relationship Id="rId4" Type="http://schemas.openxmlformats.org/officeDocument/2006/relationships/endnotes" Target="endnotes.xml"/><Relationship Id="rId39" Type="http://schemas.openxmlformats.org/officeDocument/2006/relationships/footer" Target="footer33.xml"/><Relationship Id="rId38" Type="http://schemas.openxmlformats.org/officeDocument/2006/relationships/footer" Target="footer32.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notes" Target="footnotes.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227</TotalTime>
  <ScaleCrop>false</ScaleCrop>
  <LinksUpToDate>false</LinksUpToDate>
  <Application>WPS Office_12.1.0.16120_F1E327BC-269C-435d-A152-05C5408002CA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2023-10-10T09:08:00Z</dcterms:created>
  <dc:creator>wg01</dc:creator>
  <cp:lastModifiedBy>Rancho</cp:lastModifiedBy>
  <cp:lastPrinted>2023-11-21T01:29:00Z</cp:lastPrinted>
  <dcterms:modified xsi:type="dcterms:W3CDTF">2023-12-22T07:57:28Z</dcterms:modified>
  <dc:title>柳州市人民政府2015年刘传林</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2023-10-10T09:13:07Z</vt:filetime>
  </property>
  <property fmtid="{D5CDD505-2E9C-101B-9397-08002B2CF9AE}" pid="4" name="KSOProductBuildVer">
    <vt:lpwstr>2052-12.1.0.16120</vt:lpwstr>
  </property>
  <property fmtid="{D5CDD505-2E9C-101B-9397-08002B2CF9AE}" pid="5" name="ICV">
    <vt:lpwstr>268C98C8FF09499E838D22D97193DB9A_13</vt:lpwstr>
  </property>
</Properties>
</file>